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5C2" w:rsidRPr="00F135C2" w:rsidRDefault="00F135C2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Załącznik nr 1</w:t>
      </w:r>
    </w:p>
    <w:p w:rsidR="00F135C2" w:rsidRPr="00F135C2" w:rsidRDefault="00B0180A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54</w:t>
      </w:r>
      <w:r w:rsidR="00F135C2"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/2022/2023</w:t>
      </w:r>
    </w:p>
    <w:p w:rsidR="00F135C2" w:rsidRPr="00F135C2" w:rsidRDefault="00F135C2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</w:p>
    <w:p w:rsidR="00F135C2" w:rsidRPr="00F135C2" w:rsidRDefault="00B0180A" w:rsidP="00F135C2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z dnia 10 maja </w:t>
      </w:r>
      <w:r w:rsidR="00F135C2" w:rsidRPr="00F135C2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2023 r.</w:t>
      </w:r>
    </w:p>
    <w:p w:rsidR="00B0180A" w:rsidRDefault="00B0180A" w:rsidP="00B018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F135C2" w:rsidRDefault="00F135C2" w:rsidP="00B018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przydzielania i rozliczania godzin dydaktycznych</w:t>
      </w: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</w:p>
    <w:p w:rsid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</w:p>
    <w:p w:rsid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przydzielania zajęć dydaktycznych pracownikom etatowym</w:t>
      </w: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oraz w ramach umów cywilnoprawnych</w:t>
      </w:r>
    </w:p>
    <w:p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W pierwszej kolejności godziny dydaktyczne należy przydzielać pracownikom etatowym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zatrudnionym na stanowiskach dydaktycznych. </w:t>
      </w:r>
    </w:p>
    <w:p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 etatowy w pierwszej kolejności jest zobowiązany do realizacji godzin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dydaktycznych w jednostce macierzystej. Odmowa przyjęcia przez pracownika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ponadwymiarowych godzin dydaktycznych, z przyczyn określonych w art. 127 ust. 7 i 8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 z dnia 20 lipca 2018 r. Prawo o szkolnictwie wyższym i nauce w jednostce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macierzystej skutkuje brakiem możliwości wyrażenia zgody przez pracownika 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przyjęcie prowadzenia zajęć w godzinach ponadwymiarowych w innych jednostkach.</w:t>
      </w:r>
    </w:p>
    <w:p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osobami spoza UKW oraz pracownikami UKW nie będącymi pracownikami badawczo-dydaktycznymi lub dydaktycznymi mogą być zawierane umowy cywilnoprawne na wykonanie zadań dydaktycznych, gdy zostały wypełnione pensa dydaktyczne pracowników UKW z danej dziedziny, bądź określone zajęcia nie mogą być wykonane przez pracowników badawczo-dydaktycznych lub dydaktycznych UKW. </w:t>
      </w:r>
    </w:p>
    <w:p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Pracowników zatrudnianych na podstawie umowy cywilnoprawnej należy zatrudniać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terminach zgodnych z harmonogramem organizacji procesu kształcenia. </w:t>
      </w:r>
    </w:p>
    <w:p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Pracownicy zatrudniani na podstawie umowy cywilnoprawnej do prowadzenia zajęć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powinni posiadać dorobek naukowy lub znaczące doświadczenie zawodowe z dziedziny, której dotyczą zajęcia. </w:t>
      </w:r>
    </w:p>
    <w:p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 wykazania jednoczesnego niedopensowania nauczycieli akademickich jednostki i potrzeby realizacji godzin w ramach umów cywilnoprawnych, o których mowa w ust. 1, </w:t>
      </w:r>
      <w:r w:rsidR="10A5A65C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yrektor </w:t>
      </w:r>
      <w:r w:rsidR="2CEF8A0D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olegium jest zobowiązany do wstrzymania zawarcia takiej umowy w celu oceny jej zasadności, a w przypadku stwierdzenia niezasadności – do dokonania rozdziału godzin pomiędzy pracowników jednostki lub Uniwersytetu posiadających stosowne kompetencje. </w:t>
      </w:r>
    </w:p>
    <w:p w:rsid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Wynagrodzenie za zajęcia prowadzone w ramach godzin ponadwymiarowych oraz 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ramach umów cywilnoprawnych będzie płatne w terminach wynikających z zarządzeń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Rektora oraz zasad wydatkowania środków pochodzących z funduszy zewnętrznych. </w:t>
      </w:r>
    </w:p>
    <w:p w:rsidR="00F135C2" w:rsidRPr="00F135C2" w:rsidRDefault="00F135C2" w:rsidP="00F135C2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Stawki za godziny obliczeniowe realizowane w ramach umów cywilnoprawnych oraz terminy ich wypłat ustala rektor w drodze zarządzenia.</w:t>
      </w:r>
    </w:p>
    <w:p w:rsidR="18DEE4B3" w:rsidRDefault="18DEE4B3" w:rsidP="18DEE4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F135C2" w:rsidRP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</w:t>
      </w:r>
    </w:p>
    <w:p w:rsidR="00F135C2" w:rsidRPr="00F135C2" w:rsidRDefault="00F135C2" w:rsidP="00F135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rozliczania godzin dydaktycznych</w:t>
      </w:r>
    </w:p>
    <w:p w:rsidR="00F135C2" w:rsidRPr="00F135C2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Rozliczania godzin dydaktycznych dokonują pracownicy </w:t>
      </w:r>
      <w:proofErr w:type="spellStart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DJiOK</w:t>
      </w:r>
      <w:proofErr w:type="spellEnd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podstawie sporządzanych </w:t>
      </w:r>
      <w:r w:rsidR="188AF74C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ndywidualnych kart obciążeń i faktycznie przepracowanych godzin dydaktycznych przez pracowników</w:t>
      </w:r>
      <w:r w:rsidR="5D1240BF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potwierdzonych przez </w:t>
      </w:r>
      <w:r w:rsidR="2166E5EF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astępcę ds. </w:t>
      </w:r>
      <w:r w:rsidR="354B14F1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ształcenia, </w:t>
      </w:r>
      <w:r w:rsidR="00791363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 kolegium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oraz zapisów studentów na zajęcia. </w:t>
      </w:r>
    </w:p>
    <w:p w:rsidR="00F135C2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Rozliczani</w:t>
      </w:r>
      <w:r w:rsidR="6546B807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godzin dydaktycznych realizowanych na studiach stacjonarnych, niestacjonarnych, szkole doktorskiej, podyplomowych oraz innych formach kształcenia odbywa się po przepracowaniu przez pracowników roku akademickiego. </w:t>
      </w:r>
    </w:p>
    <w:p w:rsidR="00F135C2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Do pensum dydaktycznego liczone są wszystkie zajęcia dydaktyczne realizowane przez pracownika: na studiach stacjonarnych, niestacjonarnych, szkole doktorskiej, podyplomowych i innych formach kształcenia.</w:t>
      </w:r>
      <w:r w:rsidR="60DE7CC9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135C2" w:rsidRDefault="60DE7CC9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pensum dydaktycznego zalicza się zajęcia </w:t>
      </w:r>
      <w:r w:rsidR="7DD5E3CC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według następującej kolejności:</w:t>
      </w:r>
    </w:p>
    <w:p w:rsidR="00F135C2" w:rsidRDefault="7DD5E3CC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 realizowane </w:t>
      </w:r>
      <w:r w:rsidR="60DE7CC9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studiach stacjonarnych, </w:t>
      </w:r>
    </w:p>
    <w:p w:rsidR="425D2D40" w:rsidRDefault="425D2D40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realizowane na studiach niestacjonarnych,</w:t>
      </w:r>
    </w:p>
    <w:p w:rsidR="425D2D40" w:rsidRDefault="425D2D40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realizowane w szkole doktorskiej;</w:t>
      </w:r>
    </w:p>
    <w:p w:rsidR="425D2D40" w:rsidRDefault="425D2D40" w:rsidP="18DEE4B3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realizowane na studiach podyplomowych i innych formach kształcenia.</w:t>
      </w:r>
    </w:p>
    <w:p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dydaktyczne realizowane na studiach stacjonarnych, niestacjonarnych oraz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podyplomowych finansowane z funduszy zewnętrznych, w całości realizowane są na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umowy o pracę i rozliczane według reguł ustalonych przez rektora lub zgodnie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 zasadami dotyczącymi wydatkowania środków pochodzących ze źródeł zewnętrznych.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Zajęcia te rozliczane są przez pracowników </w:t>
      </w:r>
      <w:proofErr w:type="spellStart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DJiOK</w:t>
      </w:r>
      <w:proofErr w:type="spellEnd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podstawie indywidualnych kart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obciążeń sporządzanych odrębnie dla tego typu zajęć.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ERASMUS oraz zajęcia prowadzone w języku obcym (z wyłączeniem zajęć na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kierunkach filologie obce, lingwistyki stosowane, lektoratów z języków obcych oraz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studiów prowadzonych w języku obcym) - rozliczenie godzin dydaktycznych odbywa się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na zasadach ogólnych:</w:t>
      </w:r>
    </w:p>
    <w:p w:rsidR="000A6C16" w:rsidRDefault="00F135C2" w:rsidP="000A6C16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dla potrzeb ustalenia dodatkowego wynagrodzenia zalicza się faktycznie zrealizowane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godziny dydaktyczne, na podstawie wykazu uruchamianych zajęć przekazanych do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Prorektora ds. Studenckich i Jakości Kształcenia odpowiednio przez Kierownika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komórki odpowiedzialnej za realizację zajęć z ERASMUS oraz Dyrektorów Kolegiów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zwiększając wynagrodzenie o 25 % za godzinę ponadwymiarową asystenta liczonego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wg wzoru – liczba godzin realizowanych zajęć x 0,25 stawki za godzinę</w:t>
      </w:r>
      <w:r w:rsidR="000A6C1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135C2">
        <w:rPr>
          <w:rFonts w:ascii="Times New Roman" w:eastAsia="Times New Roman" w:hAnsi="Times New Roman" w:cs="Times New Roman"/>
          <w:sz w:val="24"/>
          <w:szCs w:val="24"/>
          <w:lang w:eastAsia="pl-PL"/>
        </w:rPr>
        <w:t>ponadwymiarową asystenta.</w:t>
      </w:r>
    </w:p>
    <w:p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Zajęcia łączone prowadzone łącznie wykłady kierunkowe i podstawowe, liczące powyżej150 studentów (niezależnie od liczby łączonych grup) - rozliczenie godzin dydaktycznych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odbywa się na zasadach ogólnych:</w:t>
      </w:r>
    </w:p>
    <w:p w:rsidR="000A6C16" w:rsidRDefault="00F135C2" w:rsidP="000A6C16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dla potrzeb ustalenia dodatkowego wynagrodzenia zalicza się faktycznie zrealizowane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godziny dydaktyczne na podstawie wykazu uruchamianych zajęć przekazanych do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48ADADFE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rorektora ds. studenckich i jakości kształcenia przez dyrektorów kolegiów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zwiększając wynagrodzenie o 25 % za godzinę ponadwymiarową asystenta liczonego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wg wzoru – liczba godzin realizowanych zajęć x 0,25 stawki za godzinę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ponadwymiarową asystenta.</w:t>
      </w:r>
    </w:p>
    <w:p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Seminaria dyplomowe i magisterskie - ilość uczestników seminariów dyplomowych 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magisterskich stwierdza się na podstawie wykazu seminarzystów zatwierdzonego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dyrektorów kolegium i przekazanego do prorektora ds. studenckich i jakości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kształc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enia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 czasie usprawiedliwionej nieobecności nauczyciela akademickiego, godziny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dydaktycznych wynikające z pensum dydaktycznego, które według planu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przypadałyby na okres tej nieobecności, zalicza się, dla celów ustalenia liczby godzin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dydaktycznych, jako godziny przepracowane zgodnie z planem do wysokości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realizowanego pensum dydaktycznego. Liczbę godzin faktycznie zrealizowanych oblicza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się na podstawie planu zajęć pracownika oraz przedstawionego do Działu Kadr i Szkolenia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zwolnienia lekarskiego lub innego zaświadczenia usprawiedliwiającego nieobecność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pracownika.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A6C16" w:rsidRDefault="000A6C16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Zasada określona w ust. </w:t>
      </w:r>
      <w:r w:rsidR="74A30225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F135C2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dotyczy godzin ponadwymiarowych, które wypłacane są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135C2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tylko wtedy gdy faktycznie są zrealizowane.</w:t>
      </w:r>
    </w:p>
    <w:p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Godziny ponadwymiarowe wypłacane są po zrealizowaniu pełnego pensum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dydaktycznego przewidzianego dla danego stanowiska.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Pracownicy, chcący mieć wypłacone wszystkie planowane godziny ponadwymiarowe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zobowiązani są do przedstawienia oświadczenia o terminie odrobienia zajęć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dydaktycznych potwierdzonego przez Zastępcę ds. Kształcenia oraz </w:t>
      </w:r>
      <w:r w:rsidR="00791363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 kolegium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wg w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zoru stanowiącego załącznik nr 2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135C2" w:rsidRPr="000A6C16" w:rsidRDefault="00F135C2" w:rsidP="000A6C16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Wypłata godzin ponadwymiarowych, w przypadku gdy pracownik korzysta z obniżenia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pensum dydaktycznego następuje po zrealizowaniu przez pracownika pełnego wymiaru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pensum dydaktycznego określonego dla jego stanowiska. Powyższe zastrzeżenie nie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dotyczy pracowników, w przypadku których obniżenie pensum dydaktycznego wynika z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pełnienia następujących</w:t>
      </w:r>
      <w:r w:rsidR="00791363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funkcji: Rektora, prorektora, dyrektora k</w:t>
      </w:r>
      <w:bookmarkStart w:id="0" w:name="_GoBack"/>
      <w:bookmarkEnd w:id="0"/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olegium, kierownika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podstawowej jednostki organizacyjnej, zastępcy kierownika podstawowej jednostki</w:t>
      </w:r>
      <w:r w:rsidR="000A6C16"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18DEE4B3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organizacyjnej ds. kształcenia.</w:t>
      </w:r>
    </w:p>
    <w:p w:rsidR="00BA7678" w:rsidRPr="00F135C2" w:rsidRDefault="00BA7678" w:rsidP="000A6C1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A7678" w:rsidRPr="00F135C2" w:rsidSect="00A734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C0D44"/>
    <w:multiLevelType w:val="hybridMultilevel"/>
    <w:tmpl w:val="98E621D0"/>
    <w:lvl w:ilvl="0" w:tplc="B178DF3C">
      <w:start w:val="1"/>
      <w:numFmt w:val="decimal"/>
      <w:lvlText w:val="%1)"/>
      <w:lvlJc w:val="left"/>
      <w:pPr>
        <w:ind w:left="1068" w:hanging="360"/>
      </w:pPr>
      <w:rPr>
        <w:rFonts w:asciiTheme="minorHAnsi" w:eastAsia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D0A74CE"/>
    <w:multiLevelType w:val="hybridMultilevel"/>
    <w:tmpl w:val="427E343A"/>
    <w:lvl w:ilvl="0" w:tplc="7916B1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8669C2"/>
    <w:multiLevelType w:val="hybridMultilevel"/>
    <w:tmpl w:val="1DDAAB02"/>
    <w:lvl w:ilvl="0" w:tplc="05340846">
      <w:start w:val="1"/>
      <w:numFmt w:val="decimal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2959F6"/>
    <w:multiLevelType w:val="hybridMultilevel"/>
    <w:tmpl w:val="1690D326"/>
    <w:lvl w:ilvl="0" w:tplc="75DA9FF6">
      <w:start w:val="1"/>
      <w:numFmt w:val="decimal"/>
      <w:lvlText w:val="%1)"/>
      <w:lvlJc w:val="left"/>
      <w:pPr>
        <w:ind w:left="1080" w:hanging="360"/>
      </w:pPr>
      <w:rPr>
        <w:rFonts w:asciiTheme="minorHAnsi" w:eastAsiaTheme="minorHAnsi" w:hAnsiTheme="minorHAnsi" w:cstheme="minorBid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CA32966"/>
    <w:multiLevelType w:val="hybridMultilevel"/>
    <w:tmpl w:val="8716E032"/>
    <w:lvl w:ilvl="0" w:tplc="6E6CBC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70AA51"/>
    <w:multiLevelType w:val="hybridMultilevel"/>
    <w:tmpl w:val="2C4CE642"/>
    <w:lvl w:ilvl="0" w:tplc="0928ACD2">
      <w:start w:val="1"/>
      <w:numFmt w:val="decimal"/>
      <w:lvlText w:val="%1)"/>
      <w:lvlJc w:val="left"/>
      <w:pPr>
        <w:ind w:left="1068" w:hanging="360"/>
      </w:pPr>
    </w:lvl>
    <w:lvl w:ilvl="1" w:tplc="80327E02">
      <w:start w:val="1"/>
      <w:numFmt w:val="lowerLetter"/>
      <w:lvlText w:val="%2."/>
      <w:lvlJc w:val="left"/>
      <w:pPr>
        <w:ind w:left="1788" w:hanging="360"/>
      </w:pPr>
    </w:lvl>
    <w:lvl w:ilvl="2" w:tplc="936C1A34">
      <w:start w:val="1"/>
      <w:numFmt w:val="lowerRoman"/>
      <w:lvlText w:val="%3."/>
      <w:lvlJc w:val="right"/>
      <w:pPr>
        <w:ind w:left="2508" w:hanging="180"/>
      </w:pPr>
    </w:lvl>
    <w:lvl w:ilvl="3" w:tplc="9432E168">
      <w:start w:val="1"/>
      <w:numFmt w:val="decimal"/>
      <w:lvlText w:val="%4."/>
      <w:lvlJc w:val="left"/>
      <w:pPr>
        <w:ind w:left="3228" w:hanging="360"/>
      </w:pPr>
    </w:lvl>
    <w:lvl w:ilvl="4" w:tplc="CD5A6F1E">
      <w:start w:val="1"/>
      <w:numFmt w:val="lowerLetter"/>
      <w:lvlText w:val="%5."/>
      <w:lvlJc w:val="left"/>
      <w:pPr>
        <w:ind w:left="3948" w:hanging="360"/>
      </w:pPr>
    </w:lvl>
    <w:lvl w:ilvl="5" w:tplc="6F98BA3E">
      <w:start w:val="1"/>
      <w:numFmt w:val="lowerRoman"/>
      <w:lvlText w:val="%6."/>
      <w:lvlJc w:val="right"/>
      <w:pPr>
        <w:ind w:left="4668" w:hanging="180"/>
      </w:pPr>
    </w:lvl>
    <w:lvl w:ilvl="6" w:tplc="6B6476CE">
      <w:start w:val="1"/>
      <w:numFmt w:val="decimal"/>
      <w:lvlText w:val="%7."/>
      <w:lvlJc w:val="left"/>
      <w:pPr>
        <w:ind w:left="5388" w:hanging="360"/>
      </w:pPr>
    </w:lvl>
    <w:lvl w:ilvl="7" w:tplc="3BB4E830">
      <w:start w:val="1"/>
      <w:numFmt w:val="lowerLetter"/>
      <w:lvlText w:val="%8."/>
      <w:lvlJc w:val="left"/>
      <w:pPr>
        <w:ind w:left="6108" w:hanging="360"/>
      </w:pPr>
    </w:lvl>
    <w:lvl w:ilvl="8" w:tplc="088076A0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135C2"/>
    <w:rsid w:val="000A6C16"/>
    <w:rsid w:val="00791363"/>
    <w:rsid w:val="00A734F2"/>
    <w:rsid w:val="00B0180A"/>
    <w:rsid w:val="00BA7678"/>
    <w:rsid w:val="00F135C2"/>
    <w:rsid w:val="0422E4C0"/>
    <w:rsid w:val="05B6FA6C"/>
    <w:rsid w:val="0E59DB07"/>
    <w:rsid w:val="10A5A65C"/>
    <w:rsid w:val="188AF74C"/>
    <w:rsid w:val="18DEE4B3"/>
    <w:rsid w:val="2166E5EF"/>
    <w:rsid w:val="24E72DDB"/>
    <w:rsid w:val="2682FE3C"/>
    <w:rsid w:val="2A5DA330"/>
    <w:rsid w:val="2B3D4702"/>
    <w:rsid w:val="2CEF8A0D"/>
    <w:rsid w:val="354B14F1"/>
    <w:rsid w:val="3B9DF161"/>
    <w:rsid w:val="425D2D40"/>
    <w:rsid w:val="48ADADFE"/>
    <w:rsid w:val="4CA7D81E"/>
    <w:rsid w:val="4E43A87F"/>
    <w:rsid w:val="5D1240BF"/>
    <w:rsid w:val="60DE7CC9"/>
    <w:rsid w:val="6546B807"/>
    <w:rsid w:val="68DB4925"/>
    <w:rsid w:val="73C23A60"/>
    <w:rsid w:val="74A30225"/>
    <w:rsid w:val="7CFBED92"/>
    <w:rsid w:val="7DA0B846"/>
    <w:rsid w:val="7DD5E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734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F135C2"/>
  </w:style>
  <w:style w:type="paragraph" w:styleId="Akapitzlist">
    <w:name w:val="List Paragraph"/>
    <w:basedOn w:val="Normalny"/>
    <w:uiPriority w:val="34"/>
    <w:qFormat/>
    <w:rsid w:val="00F135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47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8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Props1.xml><?xml version="1.0" encoding="utf-8"?>
<ds:datastoreItem xmlns:ds="http://schemas.openxmlformats.org/officeDocument/2006/customXml" ds:itemID="{16E010E0-4F03-4BF0-BE1A-4B72EEDA3B6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06CD4A-D316-415E-B8BE-147CE9B886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3AB022E-3388-42D5-8CCA-C39984E28C0D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1016</Words>
  <Characters>6098</Characters>
  <Application>Microsoft Office Word</Application>
  <DocSecurity>0</DocSecurity>
  <Lines>50</Lines>
  <Paragraphs>14</Paragraphs>
  <ScaleCrop>false</ScaleCrop>
  <Company/>
  <LinksUpToDate>false</LinksUpToDate>
  <CharactersWithSpaces>7100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lukasz84</cp:lastModifiedBy>
  <cp:revision>3</cp:revision>
  <dcterms:created xsi:type="dcterms:W3CDTF">2023-04-19T15:31:00Z</dcterms:created>
  <dcterms:modified xsi:type="dcterms:W3CDTF">2023-05-12T12:35:00Z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  <property fmtid="{D5CDD505-2E9C-101B-9397-08002B2CF9AE}" pid="3" name="MediaServiceImageTags">
    <vt:lpwstr/>
  </property>
</Properties>
</file>