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20BB3" w14:textId="77777777" w:rsidR="002A11AB" w:rsidRPr="00FD730C" w:rsidRDefault="00F364B3" w:rsidP="00FD730C">
      <w:pPr>
        <w:jc w:val="right"/>
        <w:rPr>
          <w:i/>
          <w:iCs/>
        </w:rPr>
      </w:pPr>
      <w:r w:rsidRPr="00FD730C">
        <w:rPr>
          <w:i/>
          <w:iCs/>
          <w:sz w:val="22"/>
          <w:szCs w:val="22"/>
        </w:rPr>
        <w:t>Załącznik Nr 1</w:t>
      </w:r>
    </w:p>
    <w:p w14:paraId="42E7AFC3" w14:textId="77777777" w:rsidR="002A11AB" w:rsidRPr="00FD730C" w:rsidRDefault="00F364B3" w:rsidP="00FD730C">
      <w:pPr>
        <w:spacing w:after="100"/>
        <w:jc w:val="right"/>
        <w:rPr>
          <w:i/>
          <w:iCs/>
        </w:rPr>
      </w:pPr>
      <w:r w:rsidRPr="00FD730C">
        <w:rPr>
          <w:i/>
          <w:iCs/>
          <w:sz w:val="22"/>
          <w:szCs w:val="22"/>
        </w:rPr>
        <w:t>do Zarządzenia Rektora UKW</w:t>
      </w:r>
    </w:p>
    <w:p w14:paraId="4D4EAE98" w14:textId="77777777" w:rsidR="002A11AB" w:rsidRPr="00FD730C" w:rsidRDefault="00F364B3" w:rsidP="00FD730C">
      <w:pPr>
        <w:spacing w:after="100"/>
        <w:jc w:val="right"/>
        <w:rPr>
          <w:i/>
          <w:iCs/>
        </w:rPr>
      </w:pPr>
      <w:r w:rsidRPr="00FD730C">
        <w:rPr>
          <w:i/>
          <w:iCs/>
          <w:sz w:val="22"/>
          <w:szCs w:val="22"/>
        </w:rPr>
        <w:t xml:space="preserve">nr </w:t>
      </w:r>
      <w:r w:rsidR="00880CC7" w:rsidRPr="00FD730C">
        <w:rPr>
          <w:i/>
          <w:iCs/>
          <w:sz w:val="22"/>
          <w:szCs w:val="22"/>
        </w:rPr>
        <w:t>66/2025/2026</w:t>
      </w:r>
    </w:p>
    <w:p w14:paraId="5E8CE67E" w14:textId="77777777" w:rsidR="002A11AB" w:rsidRPr="00FD730C" w:rsidRDefault="00F364B3" w:rsidP="00FD730C">
      <w:pPr>
        <w:spacing w:after="100"/>
        <w:jc w:val="right"/>
        <w:rPr>
          <w:i/>
          <w:iCs/>
        </w:rPr>
      </w:pPr>
      <w:r w:rsidRPr="00FD730C">
        <w:rPr>
          <w:i/>
          <w:iCs/>
          <w:sz w:val="22"/>
          <w:szCs w:val="22"/>
        </w:rPr>
        <w:t xml:space="preserve">z dnia </w:t>
      </w:r>
      <w:r w:rsidR="00880CC7" w:rsidRPr="00FD730C">
        <w:rPr>
          <w:i/>
          <w:iCs/>
          <w:sz w:val="22"/>
          <w:szCs w:val="22"/>
        </w:rPr>
        <w:t xml:space="preserve">30 czerwca </w:t>
      </w:r>
      <w:r w:rsidRPr="00FD730C">
        <w:rPr>
          <w:i/>
          <w:iCs/>
          <w:sz w:val="22"/>
          <w:szCs w:val="22"/>
        </w:rPr>
        <w:t>2026 r.</w:t>
      </w:r>
    </w:p>
    <w:p w14:paraId="5E73517A" w14:textId="77777777" w:rsidR="002A11AB" w:rsidRDefault="002A11AB">
      <w:pPr>
        <w:spacing w:before="60" w:after="60"/>
      </w:pPr>
    </w:p>
    <w:p w14:paraId="0909B022" w14:textId="77777777" w:rsidR="002A11AB" w:rsidRDefault="002A11AB">
      <w:pPr>
        <w:spacing w:before="60" w:after="60"/>
      </w:pPr>
    </w:p>
    <w:p w14:paraId="53B6B0AA" w14:textId="77777777" w:rsidR="002A11AB" w:rsidRDefault="00F364B3">
      <w:pPr>
        <w:spacing w:before="100" w:after="100"/>
        <w:jc w:val="center"/>
      </w:pPr>
      <w:r>
        <w:rPr>
          <w:b/>
          <w:bCs/>
        </w:rPr>
        <w:t>WYKAZ KATEGORII UMÓW NIEOBJĘTYCH OBOWIĄZKIEM REJESTRACJI</w:t>
      </w:r>
    </w:p>
    <w:p w14:paraId="22A438F6" w14:textId="77777777" w:rsidR="002A11AB" w:rsidRDefault="00F364B3">
      <w:pPr>
        <w:spacing w:before="100" w:after="100"/>
        <w:jc w:val="center"/>
      </w:pPr>
      <w:r>
        <w:rPr>
          <w:b/>
          <w:bCs/>
        </w:rPr>
        <w:t>W CENTRALNYM REJESTRZE UMÓW JEDNOSTEK SEKTORA FINANSÓW PUBLICZNYCH</w:t>
      </w:r>
    </w:p>
    <w:p w14:paraId="1129E89F" w14:textId="77777777" w:rsidR="002A11AB" w:rsidRDefault="00F364B3">
      <w:pPr>
        <w:spacing w:before="100" w:after="100"/>
        <w:jc w:val="center"/>
      </w:pPr>
      <w:r>
        <w:rPr>
          <w:b/>
          <w:bCs/>
        </w:rPr>
        <w:t>(CRU JSFP)</w:t>
      </w:r>
    </w:p>
    <w:p w14:paraId="0FCDD888" w14:textId="77777777" w:rsidR="002A11AB" w:rsidRDefault="00F364B3">
      <w:pPr>
        <w:spacing w:before="100" w:after="100"/>
        <w:jc w:val="center"/>
      </w:pPr>
      <w:r>
        <w:rPr>
          <w:b/>
          <w:bCs/>
        </w:rPr>
        <w:t>ORAZ INFORMACJI NIEPODLEGAJĄCYCH UDOSTĘPNIENIU W REJESTRZE</w:t>
      </w:r>
    </w:p>
    <w:p w14:paraId="66F898CB" w14:textId="77777777" w:rsidR="002A11AB" w:rsidRDefault="002A11AB">
      <w:pPr>
        <w:spacing w:before="60" w:after="60"/>
      </w:pPr>
    </w:p>
    <w:p w14:paraId="6A0A9735" w14:textId="77777777" w:rsidR="002A11AB" w:rsidRDefault="00F364B3">
      <w:pPr>
        <w:spacing w:before="100" w:after="100"/>
        <w:jc w:val="both"/>
      </w:pPr>
      <w:r>
        <w:t>Niniejszy wykaz stanowi załącznik do Zarządzenia Nr ………/2025/2026 Rektora Uniwersytetu Kazimierza Wielkiego w Bydgoszczy z dnia ……………… 2026 r. w sprawie wprowadzenia zasad udostępniania, aktualizowania i wycofywania informacji o umowach w CRU JSFP w Uniwersytecie Kazimierza Wielkiego w Bydgoszczy.</w:t>
      </w:r>
    </w:p>
    <w:p w14:paraId="3357C8F0" w14:textId="77777777" w:rsidR="002A11AB" w:rsidRDefault="002A11AB">
      <w:pPr>
        <w:spacing w:before="60" w:after="60"/>
      </w:pPr>
    </w:p>
    <w:p w14:paraId="49C45C41" w14:textId="77777777" w:rsidR="002A11AB" w:rsidRDefault="002A11AB">
      <w:pPr>
        <w:pBdr>
          <w:bottom w:val="single" w:sz="4" w:space="4" w:color="AAAAAA"/>
        </w:pBdr>
        <w:spacing w:before="160" w:after="160"/>
      </w:pPr>
    </w:p>
    <w:p w14:paraId="0D1404E1" w14:textId="77777777" w:rsidR="002A11AB" w:rsidRDefault="002A11AB">
      <w:pPr>
        <w:spacing w:before="6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2A11AB" w14:paraId="67DDC2DF" w14:textId="77777777">
        <w:tc>
          <w:tcPr>
            <w:tcW w:w="0" w:type="auto"/>
            <w:tcBorders>
              <w:top w:val="single" w:sz="6" w:space="0" w:color="2E4057"/>
              <w:left w:val="single" w:sz="6" w:space="0" w:color="2E4057"/>
              <w:bottom w:val="single" w:sz="6" w:space="0" w:color="2E4057"/>
              <w:right w:val="single" w:sz="6" w:space="0" w:color="2E4057"/>
            </w:tcBorders>
            <w:shd w:val="clear" w:color="auto" w:fill="EEF2F7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540BE85B" w14:textId="77777777" w:rsidR="002A11AB" w:rsidRDefault="00F364B3">
            <w:pPr>
              <w:spacing w:before="100" w:after="100"/>
            </w:pPr>
            <w:r>
              <w:rPr>
                <w:b/>
                <w:bCs/>
              </w:rPr>
              <w:t>CZĘŚĆ I. Umowy nieobjęte obowiązkiem rejestracji w CRU JSFP</w:t>
            </w:r>
          </w:p>
        </w:tc>
      </w:tr>
    </w:tbl>
    <w:p w14:paraId="4189E0B8" w14:textId="77777777" w:rsidR="002A11AB" w:rsidRDefault="002A11AB">
      <w:pPr>
        <w:spacing w:before="60" w:after="60"/>
      </w:pPr>
    </w:p>
    <w:p w14:paraId="617EC869" w14:textId="77777777" w:rsidR="002A11AB" w:rsidRDefault="00F364B3">
      <w:pPr>
        <w:spacing w:before="100" w:after="100"/>
        <w:jc w:val="both"/>
      </w:pPr>
      <w:r>
        <w:rPr>
          <w:b/>
          <w:bCs/>
        </w:rPr>
        <w:t xml:space="preserve">Podstawa prawna: </w:t>
      </w:r>
      <w:r>
        <w:t>art. 34a ust. 5 ustawy z dnia 27 sierpnia 2009 r. o finansach publicznych (</w:t>
      </w:r>
      <w:proofErr w:type="spellStart"/>
      <w:r>
        <w:t>t.j</w:t>
      </w:r>
      <w:proofErr w:type="spellEnd"/>
      <w:r>
        <w:t xml:space="preserve">. Dz. U. z 2025 r. poz. 1483 z </w:t>
      </w:r>
      <w:proofErr w:type="spellStart"/>
      <w:r>
        <w:t>późn</w:t>
      </w:r>
      <w:proofErr w:type="spellEnd"/>
      <w:r>
        <w:t>. zm.) w związku z art. 11 ust. 2 pkt 1 oraz art. 14 ustawy z dnia 11 września 2019 r. – Prawo zamówień publicznych (</w:t>
      </w:r>
      <w:proofErr w:type="spellStart"/>
      <w:r>
        <w:t>t.j</w:t>
      </w:r>
      <w:proofErr w:type="spellEnd"/>
      <w:r>
        <w:t xml:space="preserve">. Dz. U. z 2024 r. poz. 1320 z </w:t>
      </w:r>
      <w:proofErr w:type="spellStart"/>
      <w:r>
        <w:t>późn</w:t>
      </w:r>
      <w:proofErr w:type="spellEnd"/>
      <w:r>
        <w:t>. zm.).</w:t>
      </w:r>
    </w:p>
    <w:p w14:paraId="57DB4E9E" w14:textId="77777777" w:rsidR="002A11AB" w:rsidRDefault="002A11AB">
      <w:pPr>
        <w:spacing w:before="60" w:after="60"/>
      </w:pPr>
    </w:p>
    <w:p w14:paraId="1363E183" w14:textId="77777777" w:rsidR="002A11AB" w:rsidRDefault="00F364B3">
      <w:pPr>
        <w:spacing w:before="100" w:after="100"/>
        <w:jc w:val="both"/>
      </w:pPr>
      <w:r>
        <w:t>W Centralnym Rejestrze Umów JSFP nie zamieszcza się informacji o następujących kategoriach umów:</w:t>
      </w:r>
    </w:p>
    <w:p w14:paraId="79CF1775" w14:textId="77777777" w:rsidR="002A11AB" w:rsidRDefault="002A11AB">
      <w:pPr>
        <w:spacing w:before="6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5826"/>
      </w:tblGrid>
      <w:tr w:rsidR="002A11AB" w14:paraId="1AD52C46" w14:textId="77777777">
        <w:tc>
          <w:tcPr>
            <w:tcW w:w="3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18C3DE8A" w14:textId="77777777" w:rsidR="002A11AB" w:rsidRDefault="00F364B3">
            <w:pPr>
              <w:spacing w:before="100" w:after="100"/>
            </w:pPr>
            <w:r>
              <w:rPr>
                <w:b/>
                <w:bCs/>
                <w:sz w:val="22"/>
                <w:szCs w:val="22"/>
              </w:rPr>
              <w:t>Kategoria wykluczenia</w:t>
            </w:r>
          </w:p>
        </w:tc>
        <w:tc>
          <w:tcPr>
            <w:tcW w:w="58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2D3D1180" w14:textId="77777777" w:rsidR="002A11AB" w:rsidRDefault="00F364B3">
            <w:pPr>
              <w:spacing w:before="100" w:after="100"/>
            </w:pPr>
            <w:r>
              <w:rPr>
                <w:b/>
                <w:bCs/>
                <w:sz w:val="22"/>
                <w:szCs w:val="22"/>
              </w:rPr>
              <w:t>Opis i uwagi praktyczne dla UKW</w:t>
            </w:r>
          </w:p>
        </w:tc>
      </w:tr>
      <w:tr w:rsidR="002A11AB" w14:paraId="43791A9A" w14:textId="77777777">
        <w:tc>
          <w:tcPr>
            <w:tcW w:w="3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7F104BEC" w14:textId="77777777" w:rsidR="002A11AB" w:rsidRDefault="00F364B3">
            <w:pPr>
              <w:spacing w:before="100" w:after="100"/>
            </w:pPr>
            <w:r>
              <w:rPr>
                <w:b/>
                <w:bCs/>
                <w:sz w:val="22"/>
                <w:szCs w:val="22"/>
              </w:rPr>
              <w:t>1. Umowy zawarte przez określone podmioty</w:t>
            </w:r>
          </w:p>
          <w:p w14:paraId="2F3D9C6A" w14:textId="77777777" w:rsidR="002A11AB" w:rsidRDefault="00F364B3">
            <w:pPr>
              <w:spacing w:before="100" w:after="100"/>
            </w:pPr>
            <w:r>
              <w:rPr>
                <w:i/>
                <w:iCs/>
                <w:color w:val="555555"/>
                <w:sz w:val="20"/>
                <w:szCs w:val="20"/>
              </w:rPr>
              <w:t xml:space="preserve">(art. 34a ust. 5 pkt 1 </w:t>
            </w:r>
            <w:proofErr w:type="spellStart"/>
            <w:r>
              <w:rPr>
                <w:i/>
                <w:iCs/>
                <w:color w:val="555555"/>
                <w:sz w:val="20"/>
                <w:szCs w:val="20"/>
              </w:rPr>
              <w:t>u.f.p</w:t>
            </w:r>
            <w:proofErr w:type="spellEnd"/>
            <w:r>
              <w:rPr>
                <w:i/>
                <w:iCs/>
                <w:color w:val="555555"/>
                <w:sz w:val="20"/>
                <w:szCs w:val="20"/>
              </w:rPr>
              <w:t>.)</w:t>
            </w:r>
          </w:p>
        </w:tc>
        <w:tc>
          <w:tcPr>
            <w:tcW w:w="58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69A655C3" w14:textId="77777777" w:rsidR="002A11AB" w:rsidRDefault="00F364B3">
            <w:pPr>
              <w:spacing w:before="100" w:after="100"/>
            </w:pPr>
            <w:r>
              <w:rPr>
                <w:sz w:val="22"/>
                <w:szCs w:val="22"/>
              </w:rPr>
              <w:t>Wyłączenie dotyczy umów zawartych przez:</w:t>
            </w:r>
          </w:p>
          <w:p w14:paraId="2D351014" w14:textId="77777777" w:rsidR="002A11AB" w:rsidRDefault="00F364B3">
            <w:pPr>
              <w:pStyle w:val="Akapitzlist"/>
              <w:numPr>
                <w:ilvl w:val="0"/>
                <w:numId w:val="2"/>
              </w:numPr>
              <w:spacing w:before="60" w:after="40"/>
            </w:pPr>
            <w:r>
              <w:rPr>
                <w:sz w:val="22"/>
                <w:szCs w:val="22"/>
              </w:rPr>
              <w:t>Agencję Bezpieczeństwa Wewnętrznego, Agencję Wywiadu, Służbę Kontrwywiadu Wojskowego, Służbę Wywiadu Wojskowego lub Centralne Biuro Antykorupcyjne – lub na ich rzecz;</w:t>
            </w:r>
          </w:p>
          <w:p w14:paraId="67B69ADE" w14:textId="77777777" w:rsidR="002A11AB" w:rsidRDefault="00F364B3">
            <w:pPr>
              <w:pStyle w:val="Akapitzlist"/>
              <w:numPr>
                <w:ilvl w:val="0"/>
                <w:numId w:val="2"/>
              </w:numPr>
              <w:spacing w:before="40" w:after="40"/>
            </w:pPr>
            <w:r>
              <w:rPr>
                <w:sz w:val="22"/>
                <w:szCs w:val="22"/>
              </w:rPr>
              <w:t>placówkę zagraniczną Rzeczypospolitej Polskiej w rozumieniu art. 7 pkt 7 ustawy z dnia 21 stycznia 2021 r. o służbie zagranicznej – lub na jej rzecz;</w:t>
            </w:r>
          </w:p>
          <w:p w14:paraId="63601B0D" w14:textId="77777777" w:rsidR="002A11AB" w:rsidRDefault="00F364B3">
            <w:pPr>
              <w:pStyle w:val="Akapitzlist"/>
              <w:numPr>
                <w:ilvl w:val="0"/>
                <w:numId w:val="2"/>
              </w:numPr>
              <w:spacing w:before="40" w:after="60"/>
            </w:pPr>
            <w:r>
              <w:rPr>
                <w:sz w:val="22"/>
                <w:szCs w:val="22"/>
              </w:rPr>
              <w:lastRenderedPageBreak/>
              <w:t>jednostkę organizacyjną podległą Ministrowi Obrony Narodowej – lub na jej rzecz.</w:t>
            </w:r>
          </w:p>
          <w:p w14:paraId="78FAAAD8" w14:textId="77777777" w:rsidR="002A11AB" w:rsidRDefault="00F364B3">
            <w:pPr>
              <w:spacing w:before="100" w:after="100"/>
            </w:pPr>
            <w:r>
              <w:rPr>
                <w:i/>
                <w:iCs/>
                <w:color w:val="888888"/>
                <w:sz w:val="20"/>
                <w:szCs w:val="20"/>
              </w:rPr>
              <w:t>→ Wyłączenie nie dotyczy UKW. Wymienione podmioty nie występują w strukturze Uczelni.</w:t>
            </w:r>
          </w:p>
        </w:tc>
      </w:tr>
      <w:tr w:rsidR="002A11AB" w14:paraId="448E3C35" w14:textId="77777777">
        <w:tc>
          <w:tcPr>
            <w:tcW w:w="3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17FE62C9" w14:textId="77777777" w:rsidR="002A11AB" w:rsidRDefault="00F364B3">
            <w:pPr>
              <w:spacing w:before="100" w:after="100"/>
            </w:pPr>
            <w:r>
              <w:rPr>
                <w:b/>
                <w:bCs/>
                <w:sz w:val="22"/>
                <w:szCs w:val="22"/>
              </w:rPr>
              <w:lastRenderedPageBreak/>
              <w:t>2. Umowy o pracę i stosunki pracy</w:t>
            </w:r>
          </w:p>
          <w:p w14:paraId="15206E85" w14:textId="77777777" w:rsidR="002A11AB" w:rsidRDefault="00F364B3">
            <w:pPr>
              <w:spacing w:before="100" w:after="100"/>
            </w:pPr>
            <w:r>
              <w:rPr>
                <w:i/>
                <w:iCs/>
                <w:color w:val="555555"/>
                <w:sz w:val="20"/>
                <w:szCs w:val="20"/>
              </w:rPr>
              <w:t xml:space="preserve">(art. 34a ust. 5 pkt 2 </w:t>
            </w:r>
            <w:proofErr w:type="spellStart"/>
            <w:r>
              <w:rPr>
                <w:i/>
                <w:iCs/>
                <w:color w:val="555555"/>
                <w:sz w:val="20"/>
                <w:szCs w:val="20"/>
              </w:rPr>
              <w:t>u.f.p</w:t>
            </w:r>
            <w:proofErr w:type="spellEnd"/>
            <w:r>
              <w:rPr>
                <w:i/>
                <w:iCs/>
                <w:color w:val="555555"/>
                <w:sz w:val="20"/>
                <w:szCs w:val="20"/>
              </w:rPr>
              <w:t xml:space="preserve">. w zw. z art. 11 ust. 2 pkt 1 </w:t>
            </w:r>
            <w:proofErr w:type="spellStart"/>
            <w:r>
              <w:rPr>
                <w:i/>
                <w:iCs/>
                <w:color w:val="555555"/>
                <w:sz w:val="20"/>
                <w:szCs w:val="20"/>
              </w:rPr>
              <w:t>Pzp</w:t>
            </w:r>
            <w:proofErr w:type="spellEnd"/>
            <w:r>
              <w:rPr>
                <w:i/>
                <w:iCs/>
                <w:color w:val="555555"/>
                <w:sz w:val="20"/>
                <w:szCs w:val="20"/>
              </w:rPr>
              <w:t>)</w:t>
            </w:r>
          </w:p>
        </w:tc>
        <w:tc>
          <w:tcPr>
            <w:tcW w:w="58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183CB252" w14:textId="77777777" w:rsidR="002A11AB" w:rsidRDefault="00F364B3">
            <w:pPr>
              <w:spacing w:before="100" w:after="100"/>
            </w:pPr>
            <w:r>
              <w:rPr>
                <w:sz w:val="22"/>
                <w:szCs w:val="22"/>
              </w:rPr>
              <w:t>Wyłączenie obejmuje umowy, których przedmiotem są stosunki pracy, w tym:</w:t>
            </w:r>
          </w:p>
          <w:p w14:paraId="6B91AAA2" w14:textId="77777777" w:rsidR="002A11AB" w:rsidRDefault="00F364B3">
            <w:pPr>
              <w:pStyle w:val="Akapitzlist"/>
              <w:numPr>
                <w:ilvl w:val="0"/>
                <w:numId w:val="2"/>
              </w:numPr>
              <w:spacing w:before="60" w:after="40"/>
            </w:pPr>
            <w:r>
              <w:rPr>
                <w:sz w:val="22"/>
                <w:szCs w:val="22"/>
              </w:rPr>
              <w:t>umowy o pracę (na czas nieokreślony, określony, próbny, na zastępstwo, na czas wykonywania określonej pracy);</w:t>
            </w:r>
          </w:p>
          <w:p w14:paraId="4E4C078E" w14:textId="77777777" w:rsidR="002A11AB" w:rsidRDefault="00F364B3">
            <w:pPr>
              <w:pStyle w:val="Akapitzlist"/>
              <w:numPr>
                <w:ilvl w:val="0"/>
                <w:numId w:val="2"/>
              </w:numPr>
              <w:spacing w:before="40" w:after="40"/>
            </w:pPr>
            <w:r>
              <w:rPr>
                <w:sz w:val="22"/>
                <w:szCs w:val="22"/>
              </w:rPr>
              <w:t>umowy o pracę w celu przygotowania zawodowego;</w:t>
            </w:r>
          </w:p>
          <w:p w14:paraId="55CAB26B" w14:textId="77777777" w:rsidR="002A11AB" w:rsidRDefault="00F364B3">
            <w:pPr>
              <w:pStyle w:val="Akapitzlist"/>
              <w:numPr>
                <w:ilvl w:val="0"/>
                <w:numId w:val="2"/>
              </w:numPr>
              <w:spacing w:before="40" w:after="40"/>
            </w:pPr>
            <w:r>
              <w:rPr>
                <w:sz w:val="22"/>
                <w:szCs w:val="22"/>
              </w:rPr>
              <w:t>umowy o zakazie konkurencji zawierane w ramach stosunku pracy;</w:t>
            </w:r>
          </w:p>
          <w:p w14:paraId="5C2B98EC" w14:textId="77777777" w:rsidR="002A11AB" w:rsidRDefault="00F364B3">
            <w:pPr>
              <w:pStyle w:val="Akapitzlist"/>
              <w:numPr>
                <w:ilvl w:val="0"/>
                <w:numId w:val="2"/>
              </w:numPr>
              <w:spacing w:before="40" w:after="60"/>
            </w:pPr>
            <w:r>
              <w:rPr>
                <w:sz w:val="22"/>
                <w:szCs w:val="22"/>
              </w:rPr>
              <w:t>kontrakty menedżerskie zawierane jako umowy o pracę.</w:t>
            </w:r>
          </w:p>
          <w:p w14:paraId="0F967EB6" w14:textId="77777777" w:rsidR="002A11AB" w:rsidRDefault="00F364B3">
            <w:pPr>
              <w:spacing w:before="100" w:after="100"/>
            </w:pPr>
            <w:r>
              <w:rPr>
                <w:b/>
                <w:bCs/>
                <w:i/>
                <w:iCs/>
                <w:color w:val="1F6B3A"/>
                <w:sz w:val="20"/>
                <w:szCs w:val="20"/>
              </w:rPr>
              <w:t>→ Wyłączenie dotyczy UKW. Umowy o pracę zawierane z pracownikami Uczelni – naukowymi, dydaktycznymi i administracyjnymi – nie podlegają wpisowi do CRU JSFP.</w:t>
            </w:r>
          </w:p>
          <w:p w14:paraId="1B87D1F4" w14:textId="77777777" w:rsidR="002A11AB" w:rsidRDefault="00F364B3">
            <w:pPr>
              <w:spacing w:before="100" w:after="100"/>
            </w:pPr>
            <w:r w:rsidRPr="008F441E">
              <w:rPr>
                <w:i/>
                <w:iCs/>
                <w:color w:val="FF0000"/>
                <w:sz w:val="20"/>
                <w:szCs w:val="20"/>
              </w:rPr>
              <w:t>⚠ Uwaga: wyłączenie nie obejmuje umów cywilnoprawnych (zlecenia, o dzieło, B2B) – te mogą podlegać rejestracji, jeżeli spełniają pozostałe przesłanki.</w:t>
            </w:r>
          </w:p>
        </w:tc>
      </w:tr>
      <w:tr w:rsidR="002A11AB" w14:paraId="500BD25F" w14:textId="77777777">
        <w:tc>
          <w:tcPr>
            <w:tcW w:w="3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1FA88A6F" w14:textId="77777777" w:rsidR="002A11AB" w:rsidRDefault="00F364B3">
            <w:pPr>
              <w:spacing w:before="100" w:after="100"/>
            </w:pPr>
            <w:r>
              <w:rPr>
                <w:b/>
                <w:bCs/>
                <w:sz w:val="22"/>
                <w:szCs w:val="22"/>
              </w:rPr>
              <w:t>3. Zamówienia z zakresu obronności i bezpieczeństwa</w:t>
            </w:r>
          </w:p>
          <w:p w14:paraId="1FD37B40" w14:textId="77777777" w:rsidR="002A11AB" w:rsidRDefault="00F364B3">
            <w:pPr>
              <w:spacing w:before="100" w:after="100"/>
            </w:pPr>
            <w:r>
              <w:rPr>
                <w:i/>
                <w:iCs/>
                <w:color w:val="555555"/>
                <w:sz w:val="20"/>
                <w:szCs w:val="20"/>
              </w:rPr>
              <w:t xml:space="preserve">(art. 34a ust. 5 pkt 3 </w:t>
            </w:r>
            <w:proofErr w:type="spellStart"/>
            <w:r>
              <w:rPr>
                <w:i/>
                <w:iCs/>
                <w:color w:val="555555"/>
                <w:sz w:val="20"/>
                <w:szCs w:val="20"/>
              </w:rPr>
              <w:t>u.f.p</w:t>
            </w:r>
            <w:proofErr w:type="spellEnd"/>
            <w:r>
              <w:rPr>
                <w:i/>
                <w:iCs/>
                <w:color w:val="555555"/>
                <w:sz w:val="20"/>
                <w:szCs w:val="20"/>
              </w:rPr>
              <w:t xml:space="preserve">. w zw. z art. 14 </w:t>
            </w:r>
            <w:proofErr w:type="spellStart"/>
            <w:r>
              <w:rPr>
                <w:i/>
                <w:iCs/>
                <w:color w:val="555555"/>
                <w:sz w:val="20"/>
                <w:szCs w:val="20"/>
              </w:rPr>
              <w:t>Pzp</w:t>
            </w:r>
            <w:proofErr w:type="spellEnd"/>
            <w:r>
              <w:rPr>
                <w:i/>
                <w:iCs/>
                <w:color w:val="555555"/>
                <w:sz w:val="20"/>
                <w:szCs w:val="20"/>
              </w:rPr>
              <w:t>)</w:t>
            </w:r>
          </w:p>
        </w:tc>
        <w:tc>
          <w:tcPr>
            <w:tcW w:w="58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0F2BFF33" w14:textId="77777777" w:rsidR="002A11AB" w:rsidRDefault="00F364B3">
            <w:pPr>
              <w:spacing w:before="100" w:after="100"/>
            </w:pPr>
            <w:r>
              <w:rPr>
                <w:sz w:val="22"/>
                <w:szCs w:val="22"/>
              </w:rPr>
              <w:t>Wyłączenie dotyczy umów dotyczących zamówień z zakresu obronności i bezpieczeństwa podlegających szczególnej procedurze na podstawie:</w:t>
            </w:r>
          </w:p>
          <w:p w14:paraId="25E9FCCE" w14:textId="77777777" w:rsidR="002A11AB" w:rsidRDefault="00F364B3">
            <w:pPr>
              <w:pStyle w:val="Akapitzlist"/>
              <w:numPr>
                <w:ilvl w:val="0"/>
                <w:numId w:val="2"/>
              </w:numPr>
              <w:spacing w:before="60" w:after="40"/>
            </w:pPr>
            <w:r>
              <w:rPr>
                <w:sz w:val="22"/>
                <w:szCs w:val="22"/>
              </w:rPr>
              <w:t>umowy międzynarodowej lub porozumienia międzyrządowego, której stroną jest RP;</w:t>
            </w:r>
          </w:p>
          <w:p w14:paraId="1C9423EF" w14:textId="77777777" w:rsidR="002A11AB" w:rsidRDefault="00F364B3">
            <w:pPr>
              <w:pStyle w:val="Akapitzlist"/>
              <w:numPr>
                <w:ilvl w:val="0"/>
                <w:numId w:val="2"/>
              </w:numPr>
              <w:spacing w:before="40" w:after="40"/>
            </w:pPr>
            <w:r>
              <w:rPr>
                <w:sz w:val="22"/>
                <w:szCs w:val="22"/>
              </w:rPr>
              <w:t>umowy międzynarodowej dotyczącej stacjonowania wojsk;</w:t>
            </w:r>
          </w:p>
          <w:p w14:paraId="7A334B08" w14:textId="77777777" w:rsidR="002A11AB" w:rsidRDefault="00F364B3">
            <w:pPr>
              <w:pStyle w:val="Akapitzlist"/>
              <w:numPr>
                <w:ilvl w:val="0"/>
                <w:numId w:val="2"/>
              </w:numPr>
              <w:spacing w:before="40" w:after="60"/>
            </w:pPr>
            <w:r>
              <w:rPr>
                <w:sz w:val="22"/>
                <w:szCs w:val="22"/>
              </w:rPr>
              <w:t>szczególnej procedury organizacji międzynarodowej.</w:t>
            </w:r>
          </w:p>
          <w:p w14:paraId="1CD26F7D" w14:textId="77777777" w:rsidR="002A11AB" w:rsidRDefault="00F364B3">
            <w:pPr>
              <w:spacing w:before="100" w:after="100"/>
            </w:pPr>
            <w:r>
              <w:rPr>
                <w:i/>
                <w:iCs/>
                <w:color w:val="888888"/>
                <w:sz w:val="20"/>
                <w:szCs w:val="20"/>
              </w:rPr>
              <w:t>→ Wyłączenie co do zasady nie dotyczy UKW. Może mieć zastosowanie jedynie w wyjątkowych sytuacjach realizacji projektów finansowanych ze środków obronnych lub bezpieczeństwa państwa – każdą taką sytuację należy konsultować z radcą prawnym UKW.</w:t>
            </w:r>
          </w:p>
        </w:tc>
      </w:tr>
      <w:tr w:rsidR="002A11AB" w14:paraId="54F72121" w14:textId="77777777">
        <w:tc>
          <w:tcPr>
            <w:tcW w:w="3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709256AF" w14:textId="77777777" w:rsidR="002A11AB" w:rsidRDefault="00F364B3">
            <w:pPr>
              <w:spacing w:before="100" w:after="100"/>
            </w:pPr>
            <w:r>
              <w:rPr>
                <w:b/>
                <w:bCs/>
                <w:sz w:val="22"/>
                <w:szCs w:val="22"/>
              </w:rPr>
              <w:t>4. Umowy zawarte bez wymaganej formy</w:t>
            </w:r>
          </w:p>
          <w:p w14:paraId="39145F0D" w14:textId="77777777" w:rsidR="002A11AB" w:rsidRDefault="00F364B3">
            <w:pPr>
              <w:spacing w:before="100" w:after="100"/>
            </w:pPr>
            <w:r>
              <w:rPr>
                <w:i/>
                <w:iCs/>
                <w:color w:val="555555"/>
                <w:sz w:val="20"/>
                <w:szCs w:val="20"/>
              </w:rPr>
              <w:t xml:space="preserve">(art. 34a ust. 1 pkt 2 </w:t>
            </w:r>
            <w:proofErr w:type="spellStart"/>
            <w:r>
              <w:rPr>
                <w:i/>
                <w:iCs/>
                <w:color w:val="555555"/>
                <w:sz w:val="20"/>
                <w:szCs w:val="20"/>
              </w:rPr>
              <w:t>u.f.p</w:t>
            </w:r>
            <w:proofErr w:type="spellEnd"/>
            <w:r>
              <w:rPr>
                <w:i/>
                <w:iCs/>
                <w:color w:val="555555"/>
                <w:sz w:val="20"/>
                <w:szCs w:val="20"/>
              </w:rPr>
              <w:t>.)</w:t>
            </w:r>
          </w:p>
        </w:tc>
        <w:tc>
          <w:tcPr>
            <w:tcW w:w="58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5D8F49B7" w14:textId="77777777" w:rsidR="002A11AB" w:rsidRDefault="00F364B3">
            <w:pPr>
              <w:spacing w:before="100" w:after="100"/>
            </w:pPr>
            <w:r>
              <w:rPr>
                <w:sz w:val="22"/>
                <w:szCs w:val="22"/>
              </w:rPr>
              <w:t>Obowiązkowi rejestracji podlegają wyłącznie umowy zawarte w formie:</w:t>
            </w:r>
          </w:p>
          <w:p w14:paraId="5D0BE312" w14:textId="77777777" w:rsidR="002A11AB" w:rsidRDefault="00F364B3">
            <w:pPr>
              <w:pStyle w:val="Akapitzlist"/>
              <w:numPr>
                <w:ilvl w:val="0"/>
                <w:numId w:val="2"/>
              </w:numPr>
              <w:spacing w:before="60" w:after="40"/>
            </w:pPr>
            <w:r>
              <w:rPr>
                <w:sz w:val="22"/>
                <w:szCs w:val="22"/>
              </w:rPr>
              <w:t>pisemnej,</w:t>
            </w:r>
          </w:p>
          <w:p w14:paraId="2C131177" w14:textId="77777777" w:rsidR="002A11AB" w:rsidRDefault="00F364B3">
            <w:pPr>
              <w:pStyle w:val="Akapitzlist"/>
              <w:numPr>
                <w:ilvl w:val="0"/>
                <w:numId w:val="2"/>
              </w:numPr>
              <w:spacing w:before="40" w:after="40"/>
            </w:pPr>
            <w:r>
              <w:rPr>
                <w:sz w:val="22"/>
                <w:szCs w:val="22"/>
              </w:rPr>
              <w:t>dokumentowej (np. e-mail, potwierdzenie zamówienia),</w:t>
            </w:r>
          </w:p>
          <w:p w14:paraId="7291D998" w14:textId="77777777" w:rsidR="002A11AB" w:rsidRDefault="00F364B3">
            <w:pPr>
              <w:pStyle w:val="Akapitzlist"/>
              <w:numPr>
                <w:ilvl w:val="0"/>
                <w:numId w:val="2"/>
              </w:numPr>
              <w:spacing w:before="40" w:after="40"/>
            </w:pPr>
            <w:r>
              <w:rPr>
                <w:sz w:val="22"/>
                <w:szCs w:val="22"/>
              </w:rPr>
              <w:t>elektronicznej (podpisanej elektronicznie),</w:t>
            </w:r>
          </w:p>
          <w:p w14:paraId="6055947A" w14:textId="77777777" w:rsidR="002A11AB" w:rsidRDefault="00F364B3">
            <w:pPr>
              <w:pStyle w:val="Akapitzlist"/>
              <w:numPr>
                <w:ilvl w:val="0"/>
                <w:numId w:val="2"/>
              </w:numPr>
              <w:spacing w:before="40" w:after="60"/>
            </w:pPr>
            <w:r>
              <w:rPr>
                <w:sz w:val="22"/>
                <w:szCs w:val="22"/>
              </w:rPr>
              <w:t>innej formie szczególnej przewidzianej przepisami prawa.</w:t>
            </w:r>
          </w:p>
          <w:p w14:paraId="4E2DFAB0" w14:textId="77777777" w:rsidR="002A11AB" w:rsidRDefault="00F364B3">
            <w:pPr>
              <w:spacing w:before="100" w:after="100"/>
            </w:pPr>
            <w:r>
              <w:rPr>
                <w:i/>
                <w:iCs/>
                <w:color w:val="1F6B3A"/>
                <w:sz w:val="20"/>
                <w:szCs w:val="20"/>
              </w:rPr>
              <w:t xml:space="preserve">→ Umowy zawarte wyłącznie ustnie nie podlegają rejestracji. Należy jednak pamiętać, że e-mail z potwierdzeniem zamówienia może </w:t>
            </w:r>
            <w:r>
              <w:rPr>
                <w:i/>
                <w:iCs/>
                <w:color w:val="1F6B3A"/>
                <w:sz w:val="20"/>
                <w:szCs w:val="20"/>
              </w:rPr>
              <w:lastRenderedPageBreak/>
              <w:t xml:space="preserve">stanowić formę dokumentową i wówczas </w:t>
            </w:r>
            <w:r w:rsidR="00D313D9">
              <w:rPr>
                <w:i/>
                <w:iCs/>
                <w:color w:val="1F6B3A"/>
                <w:sz w:val="20"/>
                <w:szCs w:val="20"/>
              </w:rPr>
              <w:t xml:space="preserve">taka </w:t>
            </w:r>
            <w:r>
              <w:rPr>
                <w:i/>
                <w:iCs/>
                <w:color w:val="1F6B3A"/>
                <w:sz w:val="20"/>
                <w:szCs w:val="20"/>
              </w:rPr>
              <w:t>umowa podlega rejestracji.</w:t>
            </w:r>
          </w:p>
        </w:tc>
      </w:tr>
      <w:tr w:rsidR="002A11AB" w14:paraId="61CA10D0" w14:textId="77777777">
        <w:tc>
          <w:tcPr>
            <w:tcW w:w="3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27BEDE1C" w14:textId="77777777" w:rsidR="002A11AB" w:rsidRDefault="00F364B3">
            <w:pPr>
              <w:spacing w:before="100" w:after="100"/>
            </w:pPr>
            <w:r>
              <w:rPr>
                <w:b/>
                <w:bCs/>
                <w:sz w:val="22"/>
                <w:szCs w:val="22"/>
              </w:rPr>
              <w:lastRenderedPageBreak/>
              <w:t>5. Umowy ramowe</w:t>
            </w:r>
          </w:p>
          <w:p w14:paraId="605B99F5" w14:textId="77777777" w:rsidR="002A11AB" w:rsidRDefault="00F364B3">
            <w:pPr>
              <w:spacing w:before="100" w:after="100"/>
            </w:pPr>
            <w:r>
              <w:rPr>
                <w:i/>
                <w:iCs/>
                <w:color w:val="555555"/>
                <w:sz w:val="20"/>
                <w:szCs w:val="20"/>
              </w:rPr>
              <w:t xml:space="preserve">(art. 34a ust. 1 </w:t>
            </w:r>
            <w:proofErr w:type="spellStart"/>
            <w:r>
              <w:rPr>
                <w:i/>
                <w:iCs/>
                <w:color w:val="555555"/>
                <w:sz w:val="20"/>
                <w:szCs w:val="20"/>
              </w:rPr>
              <w:t>u.f.p</w:t>
            </w:r>
            <w:proofErr w:type="spellEnd"/>
            <w:r>
              <w:rPr>
                <w:i/>
                <w:iCs/>
                <w:color w:val="555555"/>
                <w:sz w:val="20"/>
                <w:szCs w:val="20"/>
              </w:rPr>
              <w:t xml:space="preserve">. – interpretacja </w:t>
            </w:r>
            <w:proofErr w:type="spellStart"/>
            <w:r>
              <w:rPr>
                <w:i/>
                <w:iCs/>
                <w:color w:val="555555"/>
                <w:sz w:val="20"/>
                <w:szCs w:val="20"/>
              </w:rPr>
              <w:t>MFiG</w:t>
            </w:r>
            <w:proofErr w:type="spellEnd"/>
            <w:r>
              <w:rPr>
                <w:i/>
                <w:iCs/>
                <w:color w:val="555555"/>
                <w:sz w:val="20"/>
                <w:szCs w:val="20"/>
              </w:rPr>
              <w:t>)</w:t>
            </w:r>
          </w:p>
        </w:tc>
        <w:tc>
          <w:tcPr>
            <w:tcW w:w="58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352E3847" w14:textId="77777777" w:rsidR="002A11AB" w:rsidRDefault="00F364B3">
            <w:pPr>
              <w:spacing w:before="100" w:after="100"/>
            </w:pPr>
            <w:r>
              <w:rPr>
                <w:sz w:val="22"/>
                <w:szCs w:val="22"/>
              </w:rPr>
              <w:t>Umowy ramowe nie powodują zaciągnięcia zobowiązania – nie podlegają wpisowi do CRU JSFP.</w:t>
            </w:r>
          </w:p>
          <w:p w14:paraId="4931C154" w14:textId="77777777" w:rsidR="002A11AB" w:rsidRDefault="00F364B3">
            <w:pPr>
              <w:spacing w:before="100" w:after="100"/>
            </w:pPr>
            <w:r>
              <w:rPr>
                <w:sz w:val="22"/>
                <w:szCs w:val="22"/>
              </w:rPr>
              <w:t xml:space="preserve">Obowiązkowi rejestracji podlegają natomiast poszczególne zamówienia wykonawcze (tzw. </w:t>
            </w:r>
            <w:proofErr w:type="spellStart"/>
            <w:r>
              <w:rPr>
                <w:sz w:val="22"/>
                <w:szCs w:val="22"/>
              </w:rPr>
              <w:t>call-offy</w:t>
            </w:r>
            <w:proofErr w:type="spellEnd"/>
            <w:r>
              <w:rPr>
                <w:sz w:val="22"/>
                <w:szCs w:val="22"/>
              </w:rPr>
              <w:t>) realizowane na podstawie umowy ramowej, gdy:</w:t>
            </w:r>
          </w:p>
          <w:p w14:paraId="14D27C93" w14:textId="77777777" w:rsidR="002A11AB" w:rsidRDefault="00F364B3">
            <w:pPr>
              <w:pStyle w:val="Akapitzlist"/>
              <w:numPr>
                <w:ilvl w:val="0"/>
                <w:numId w:val="2"/>
              </w:numPr>
              <w:spacing w:before="60" w:after="40"/>
            </w:pPr>
            <w:r>
              <w:rPr>
                <w:sz w:val="22"/>
                <w:szCs w:val="22"/>
              </w:rPr>
              <w:t>zostały zawarte w wymaganej formie,</w:t>
            </w:r>
          </w:p>
          <w:p w14:paraId="6A01CAB2" w14:textId="77777777" w:rsidR="002A11AB" w:rsidRDefault="00F364B3">
            <w:pPr>
              <w:pStyle w:val="Akapitzlist"/>
              <w:numPr>
                <w:ilvl w:val="0"/>
                <w:numId w:val="2"/>
              </w:numPr>
              <w:spacing w:before="40" w:after="40"/>
            </w:pPr>
            <w:r>
              <w:rPr>
                <w:sz w:val="22"/>
                <w:szCs w:val="22"/>
              </w:rPr>
              <w:t>obciążają plan finansowy UKW.</w:t>
            </w:r>
          </w:p>
        </w:tc>
      </w:tr>
    </w:tbl>
    <w:p w14:paraId="1FF3E8F6" w14:textId="77777777" w:rsidR="002A11AB" w:rsidRDefault="002A11AB">
      <w:pPr>
        <w:spacing w:before="60" w:after="60"/>
      </w:pPr>
    </w:p>
    <w:p w14:paraId="6B3CE055" w14:textId="77777777" w:rsidR="002A11AB" w:rsidRDefault="002A11AB">
      <w:pPr>
        <w:spacing w:before="60" w:after="60"/>
      </w:pPr>
    </w:p>
    <w:p w14:paraId="19771B36" w14:textId="77777777" w:rsidR="002A11AB" w:rsidRDefault="002A11AB">
      <w:pPr>
        <w:pBdr>
          <w:bottom w:val="single" w:sz="4" w:space="4" w:color="AAAAAA"/>
        </w:pBdr>
        <w:spacing w:before="160" w:after="160"/>
      </w:pPr>
    </w:p>
    <w:p w14:paraId="095BA3B0" w14:textId="77777777" w:rsidR="002A11AB" w:rsidRDefault="002A11AB">
      <w:pPr>
        <w:spacing w:before="6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2A11AB" w14:paraId="62A133B8" w14:textId="77777777">
        <w:tc>
          <w:tcPr>
            <w:tcW w:w="0" w:type="auto"/>
            <w:tcBorders>
              <w:top w:val="single" w:sz="6" w:space="0" w:color="2E4057"/>
              <w:left w:val="single" w:sz="6" w:space="0" w:color="2E4057"/>
              <w:bottom w:val="single" w:sz="6" w:space="0" w:color="2E4057"/>
              <w:right w:val="single" w:sz="6" w:space="0" w:color="2E4057"/>
            </w:tcBorders>
            <w:shd w:val="clear" w:color="auto" w:fill="EEF2F7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1BA34BD7" w14:textId="77777777" w:rsidR="002A11AB" w:rsidRDefault="00F364B3">
            <w:pPr>
              <w:spacing w:before="100" w:after="100"/>
            </w:pPr>
            <w:r>
              <w:rPr>
                <w:b/>
                <w:bCs/>
              </w:rPr>
              <w:t>CZĘŚĆ II. Informacje niepodlegające udostępnieniu w CRU JSFP</w:t>
            </w:r>
          </w:p>
        </w:tc>
      </w:tr>
    </w:tbl>
    <w:p w14:paraId="5D4A1806" w14:textId="77777777" w:rsidR="002A11AB" w:rsidRDefault="002A11AB">
      <w:pPr>
        <w:spacing w:before="60" w:after="60"/>
      </w:pPr>
    </w:p>
    <w:p w14:paraId="7E887385" w14:textId="77777777" w:rsidR="002A11AB" w:rsidRDefault="00F364B3">
      <w:pPr>
        <w:spacing w:before="100" w:after="100"/>
        <w:jc w:val="both"/>
      </w:pPr>
      <w:r>
        <w:rPr>
          <w:b/>
          <w:bCs/>
        </w:rPr>
        <w:t xml:space="preserve">Podstawa prawna: </w:t>
      </w:r>
      <w:r>
        <w:t>art. 34a ust. 8 ustawy z dnia 27 sierpnia 2009 r. o finansach publicznych w związku z art. 5 ust. 1 i ust. 2–2b ustawy z dnia 6 września 2001 r. o dostępie do informacji publicznej (Dz. U. z 2022 r. poz. 902).</w:t>
      </w:r>
    </w:p>
    <w:p w14:paraId="53C4B13F" w14:textId="77777777" w:rsidR="002A11AB" w:rsidRDefault="002A11AB">
      <w:pPr>
        <w:spacing w:before="60" w:after="60"/>
      </w:pPr>
    </w:p>
    <w:p w14:paraId="3BD0A883" w14:textId="77777777" w:rsidR="002A11AB" w:rsidRDefault="00F364B3">
      <w:pPr>
        <w:spacing w:before="100" w:after="100"/>
        <w:jc w:val="both"/>
      </w:pPr>
      <w:r>
        <w:t xml:space="preserve">Umowa podlega wpisowi do CRU JSFP, jednak następujące informacje o umowie </w:t>
      </w:r>
      <w:r>
        <w:rPr>
          <w:b/>
          <w:bCs/>
        </w:rPr>
        <w:t>nie są udostępniane publicznie</w:t>
      </w:r>
      <w:r>
        <w:t xml:space="preserve">, gdy prawo do informacji publicznej podlega ograniczeniu na podstawie art. 5 </w:t>
      </w:r>
      <w:proofErr w:type="spellStart"/>
      <w:r>
        <w:t>u.d.i.p</w:t>
      </w:r>
      <w:proofErr w:type="spellEnd"/>
      <w:r>
        <w:t>.:</w:t>
      </w:r>
    </w:p>
    <w:p w14:paraId="4EDD6F46" w14:textId="77777777" w:rsidR="002A11AB" w:rsidRDefault="002A11AB">
      <w:pPr>
        <w:spacing w:before="6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5826"/>
      </w:tblGrid>
      <w:tr w:rsidR="002A11AB" w14:paraId="73A87634" w14:textId="77777777">
        <w:tc>
          <w:tcPr>
            <w:tcW w:w="3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2002A76C" w14:textId="77777777" w:rsidR="002A11AB" w:rsidRDefault="00F364B3">
            <w:pPr>
              <w:spacing w:before="100" w:after="100"/>
            </w:pPr>
            <w:r>
              <w:rPr>
                <w:b/>
                <w:bCs/>
                <w:sz w:val="22"/>
                <w:szCs w:val="22"/>
              </w:rPr>
              <w:t>Rodzaj ograniczenia jawności</w:t>
            </w:r>
          </w:p>
        </w:tc>
        <w:tc>
          <w:tcPr>
            <w:tcW w:w="58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20DDAFA8" w14:textId="77777777" w:rsidR="002A11AB" w:rsidRDefault="00F364B3">
            <w:pPr>
              <w:spacing w:before="100" w:after="100"/>
            </w:pPr>
            <w:r>
              <w:rPr>
                <w:b/>
                <w:bCs/>
                <w:sz w:val="22"/>
                <w:szCs w:val="22"/>
              </w:rPr>
              <w:t>Opis i uwagi praktyczne dla UKW</w:t>
            </w:r>
          </w:p>
        </w:tc>
      </w:tr>
      <w:tr w:rsidR="002A11AB" w14:paraId="4BD9842F" w14:textId="77777777">
        <w:tc>
          <w:tcPr>
            <w:tcW w:w="3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20CB8F3F" w14:textId="77777777" w:rsidR="002A11AB" w:rsidRDefault="00F364B3">
            <w:pPr>
              <w:spacing w:before="100" w:after="100"/>
            </w:pPr>
            <w:r>
              <w:rPr>
                <w:b/>
                <w:bCs/>
                <w:sz w:val="22"/>
                <w:szCs w:val="22"/>
              </w:rPr>
              <w:t>A. Informacje niejawne</w:t>
            </w:r>
          </w:p>
          <w:p w14:paraId="3C431C29" w14:textId="77777777" w:rsidR="002A11AB" w:rsidRDefault="00F364B3">
            <w:pPr>
              <w:spacing w:before="100" w:after="100"/>
            </w:pPr>
            <w:r>
              <w:rPr>
                <w:i/>
                <w:iCs/>
                <w:color w:val="555555"/>
                <w:sz w:val="20"/>
                <w:szCs w:val="20"/>
              </w:rPr>
              <w:t xml:space="preserve">(art. 5 ust. 1 </w:t>
            </w:r>
            <w:proofErr w:type="spellStart"/>
            <w:r>
              <w:rPr>
                <w:i/>
                <w:iCs/>
                <w:color w:val="555555"/>
                <w:sz w:val="20"/>
                <w:szCs w:val="20"/>
              </w:rPr>
              <w:t>u.d.i.p</w:t>
            </w:r>
            <w:proofErr w:type="spellEnd"/>
            <w:r>
              <w:rPr>
                <w:i/>
                <w:iCs/>
                <w:color w:val="555555"/>
                <w:sz w:val="20"/>
                <w:szCs w:val="20"/>
              </w:rPr>
              <w:t>.)</w:t>
            </w:r>
          </w:p>
        </w:tc>
        <w:tc>
          <w:tcPr>
            <w:tcW w:w="58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759C142D" w14:textId="77777777" w:rsidR="002A11AB" w:rsidRDefault="00F364B3">
            <w:pPr>
              <w:spacing w:before="100" w:after="100"/>
            </w:pPr>
            <w:r>
              <w:rPr>
                <w:sz w:val="22"/>
                <w:szCs w:val="22"/>
              </w:rPr>
              <w:t xml:space="preserve">Informacje objęte klauzulami niejawności w rozumieniu ustawy z dnia 5 sierpnia 2010 r. o ochronie informacji niejawnych (Dz. U. z 2024 r. poz. 1411 z </w:t>
            </w:r>
            <w:proofErr w:type="spellStart"/>
            <w:r>
              <w:rPr>
                <w:sz w:val="22"/>
                <w:szCs w:val="22"/>
              </w:rPr>
              <w:t>późn</w:t>
            </w:r>
            <w:proofErr w:type="spellEnd"/>
            <w:r>
              <w:rPr>
                <w:sz w:val="22"/>
                <w:szCs w:val="22"/>
              </w:rPr>
              <w:t>. zm.):</w:t>
            </w:r>
          </w:p>
          <w:p w14:paraId="7FBF06E4" w14:textId="77777777" w:rsidR="002A11AB" w:rsidRDefault="00F364B3">
            <w:pPr>
              <w:pStyle w:val="Akapitzlist"/>
              <w:numPr>
                <w:ilvl w:val="0"/>
                <w:numId w:val="2"/>
              </w:numPr>
              <w:spacing w:before="60" w:after="60"/>
            </w:pPr>
            <w:r>
              <w:rPr>
                <w:sz w:val="22"/>
                <w:szCs w:val="22"/>
              </w:rPr>
              <w:t>„zastrzeżone”, „poufne”, „tajne”, „ściśle tajne”.</w:t>
            </w:r>
          </w:p>
          <w:p w14:paraId="5E786578" w14:textId="77777777" w:rsidR="002A11AB" w:rsidRDefault="00F364B3">
            <w:pPr>
              <w:spacing w:before="100" w:after="100"/>
            </w:pPr>
            <w:r>
              <w:rPr>
                <w:i/>
                <w:iCs/>
                <w:color w:val="888888"/>
                <w:sz w:val="20"/>
                <w:szCs w:val="20"/>
              </w:rPr>
              <w:t xml:space="preserve">→ W przypadku UKW może wystąpić przy umowach związanych z projektami finansowanymi przez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NCBiR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 w trybie art. 33 ustawy o </w:t>
            </w:r>
            <w:proofErr w:type="spellStart"/>
            <w:r>
              <w:rPr>
                <w:i/>
                <w:iCs/>
                <w:color w:val="888888"/>
                <w:sz w:val="20"/>
                <w:szCs w:val="20"/>
              </w:rPr>
              <w:t>NCBiR</w:t>
            </w:r>
            <w:proofErr w:type="spellEnd"/>
            <w:r>
              <w:rPr>
                <w:i/>
                <w:iCs/>
                <w:color w:val="888888"/>
                <w:sz w:val="20"/>
                <w:szCs w:val="20"/>
              </w:rPr>
              <w:t xml:space="preserve"> lub umowach z obszaru bezpieczeństwa państwa.</w:t>
            </w:r>
          </w:p>
        </w:tc>
      </w:tr>
      <w:tr w:rsidR="002A11AB" w14:paraId="33D424A8" w14:textId="77777777">
        <w:tc>
          <w:tcPr>
            <w:tcW w:w="3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72B0E5E0" w14:textId="77777777" w:rsidR="002A11AB" w:rsidRDefault="00F364B3">
            <w:pPr>
              <w:spacing w:before="100" w:after="100"/>
            </w:pPr>
            <w:r>
              <w:rPr>
                <w:b/>
                <w:bCs/>
                <w:sz w:val="22"/>
                <w:szCs w:val="22"/>
              </w:rPr>
              <w:t>B. Tajemnica przedsiębiorcy</w:t>
            </w:r>
          </w:p>
          <w:p w14:paraId="076FA44F" w14:textId="77777777" w:rsidR="002A11AB" w:rsidRDefault="00F364B3">
            <w:pPr>
              <w:spacing w:before="100" w:after="100"/>
            </w:pPr>
            <w:r>
              <w:rPr>
                <w:i/>
                <w:iCs/>
                <w:color w:val="555555"/>
                <w:sz w:val="20"/>
                <w:szCs w:val="20"/>
              </w:rPr>
              <w:t xml:space="preserve">(art. 5 ust. 2 </w:t>
            </w:r>
            <w:proofErr w:type="spellStart"/>
            <w:r>
              <w:rPr>
                <w:i/>
                <w:iCs/>
                <w:color w:val="555555"/>
                <w:sz w:val="20"/>
                <w:szCs w:val="20"/>
              </w:rPr>
              <w:t>u.d.i.p</w:t>
            </w:r>
            <w:proofErr w:type="spellEnd"/>
            <w:r>
              <w:rPr>
                <w:i/>
                <w:iCs/>
                <w:color w:val="555555"/>
                <w:sz w:val="20"/>
                <w:szCs w:val="20"/>
              </w:rPr>
              <w:t>.)</w:t>
            </w:r>
          </w:p>
        </w:tc>
        <w:tc>
          <w:tcPr>
            <w:tcW w:w="58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60FF2DC2" w14:textId="77777777" w:rsidR="002A11AB" w:rsidRDefault="00F364B3">
            <w:pPr>
              <w:spacing w:before="100" w:after="100"/>
            </w:pPr>
            <w:r>
              <w:rPr>
                <w:sz w:val="22"/>
                <w:szCs w:val="22"/>
              </w:rPr>
              <w:t>Informacje techniczne, technologiczne lub organizacyjne przedsiębiorcy posiadające wartość gospodarczą, co do których przedsiębiorca podjął niezbędne działania w celu zachowania ich w tajemnicy (tajemnica przedsiębiorstwa w rozumieniu ustawy z dnia 16 kwietnia 1993 r. o zwalczaniu nieuczciwej konkurencji).</w:t>
            </w:r>
          </w:p>
          <w:p w14:paraId="388B5B1F" w14:textId="77777777" w:rsidR="002A11AB" w:rsidRDefault="00F364B3">
            <w:pPr>
              <w:spacing w:before="100" w:after="100"/>
            </w:pPr>
            <w:r>
              <w:rPr>
                <w:i/>
                <w:iCs/>
                <w:color w:val="888888"/>
                <w:sz w:val="20"/>
                <w:szCs w:val="20"/>
              </w:rPr>
              <w:lastRenderedPageBreak/>
              <w:t>→ Wykonawca musi skutecznie zastrzec tajemnicę przed zawarciem umowy lub w jej treści. Klauzule generalne „wszystko jest tajemnicą” są bezskuteczne – wymagane jest konkretne uzasadnienie.</w:t>
            </w:r>
          </w:p>
          <w:p w14:paraId="55338076" w14:textId="77777777" w:rsidR="002A11AB" w:rsidRDefault="00F364B3">
            <w:pPr>
              <w:spacing w:before="100" w:after="100"/>
            </w:pPr>
            <w:r w:rsidRPr="008F441E">
              <w:rPr>
                <w:i/>
                <w:iCs/>
                <w:color w:val="FF0000"/>
                <w:sz w:val="20"/>
                <w:szCs w:val="20"/>
              </w:rPr>
              <w:t xml:space="preserve">⚠ Uwaga: od 1 lipca 2026 r. klauzule umowne dotyczące wyłączenia jawności ze względu na tajemnicę przedsiębiorstwa w umowach JSFP uważa się za niezastrzeżone, chyba że spełnione są warunki z art. 34a ust. 5–6 </w:t>
            </w:r>
            <w:proofErr w:type="spellStart"/>
            <w:r w:rsidRPr="008F441E">
              <w:rPr>
                <w:i/>
                <w:iCs/>
                <w:color w:val="FF0000"/>
                <w:sz w:val="20"/>
                <w:szCs w:val="20"/>
              </w:rPr>
              <w:t>u.f.p</w:t>
            </w:r>
            <w:proofErr w:type="spellEnd"/>
            <w:r w:rsidRPr="008F441E">
              <w:rPr>
                <w:i/>
                <w:iCs/>
                <w:color w:val="FF0000"/>
                <w:sz w:val="20"/>
                <w:szCs w:val="20"/>
              </w:rPr>
              <w:t>.</w:t>
            </w:r>
          </w:p>
        </w:tc>
      </w:tr>
      <w:tr w:rsidR="002A11AB" w14:paraId="282A3618" w14:textId="77777777">
        <w:tc>
          <w:tcPr>
            <w:tcW w:w="3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6C8F092F" w14:textId="77777777" w:rsidR="002A11AB" w:rsidRDefault="00F364B3">
            <w:pPr>
              <w:spacing w:before="100" w:after="100"/>
            </w:pPr>
            <w:r>
              <w:rPr>
                <w:b/>
                <w:bCs/>
                <w:sz w:val="22"/>
                <w:szCs w:val="22"/>
              </w:rPr>
              <w:lastRenderedPageBreak/>
              <w:t>C. Prywatność osób fizycznych</w:t>
            </w:r>
          </w:p>
          <w:p w14:paraId="46604D34" w14:textId="77777777" w:rsidR="002A11AB" w:rsidRDefault="00F364B3">
            <w:pPr>
              <w:spacing w:before="100" w:after="100"/>
            </w:pPr>
            <w:r>
              <w:rPr>
                <w:i/>
                <w:iCs/>
                <w:color w:val="555555"/>
                <w:sz w:val="20"/>
                <w:szCs w:val="20"/>
              </w:rPr>
              <w:t xml:space="preserve">(art. 5 ust. 2 </w:t>
            </w:r>
            <w:proofErr w:type="spellStart"/>
            <w:r>
              <w:rPr>
                <w:i/>
                <w:iCs/>
                <w:color w:val="555555"/>
                <w:sz w:val="20"/>
                <w:szCs w:val="20"/>
              </w:rPr>
              <w:t>u.d.i.p</w:t>
            </w:r>
            <w:proofErr w:type="spellEnd"/>
            <w:r>
              <w:rPr>
                <w:i/>
                <w:iCs/>
                <w:color w:val="555555"/>
                <w:sz w:val="20"/>
                <w:szCs w:val="20"/>
              </w:rPr>
              <w:t>.)</w:t>
            </w:r>
          </w:p>
        </w:tc>
        <w:tc>
          <w:tcPr>
            <w:tcW w:w="58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777EAAEA" w14:textId="77777777" w:rsidR="002A11AB" w:rsidRDefault="00F364B3">
            <w:pPr>
              <w:spacing w:before="100" w:after="100"/>
            </w:pPr>
            <w:r>
              <w:rPr>
                <w:sz w:val="22"/>
                <w:szCs w:val="22"/>
              </w:rPr>
              <w:t>Dane osobowe osób fizycznych objęte ochroną prawa do prywatności, w szczególności:</w:t>
            </w:r>
          </w:p>
          <w:p w14:paraId="516FC9D8" w14:textId="77777777" w:rsidR="002A11AB" w:rsidRDefault="00F364B3">
            <w:pPr>
              <w:pStyle w:val="Akapitzlist"/>
              <w:numPr>
                <w:ilvl w:val="0"/>
                <w:numId w:val="2"/>
              </w:numPr>
              <w:spacing w:before="60" w:after="40"/>
            </w:pPr>
            <w:r>
              <w:rPr>
                <w:sz w:val="22"/>
                <w:szCs w:val="22"/>
              </w:rPr>
              <w:t>numery PESEL, adresy zamieszkania, numery rachunków bankowych osób fizycznych będących stroną umowy;</w:t>
            </w:r>
          </w:p>
          <w:p w14:paraId="489F409B" w14:textId="77777777" w:rsidR="002A11AB" w:rsidRDefault="00F364B3">
            <w:pPr>
              <w:pStyle w:val="Akapitzlist"/>
              <w:numPr>
                <w:ilvl w:val="0"/>
                <w:numId w:val="2"/>
              </w:numPr>
              <w:spacing w:before="40" w:after="60"/>
            </w:pPr>
            <w:r>
              <w:rPr>
                <w:sz w:val="22"/>
                <w:szCs w:val="22"/>
              </w:rPr>
              <w:t>dane osób fizycznych prowadzących działalność gospodarczą – w zakresie wykraczającym poza niezbędne minimum.</w:t>
            </w:r>
          </w:p>
          <w:p w14:paraId="207E4BAF" w14:textId="77777777" w:rsidR="002A11AB" w:rsidRDefault="00F364B3">
            <w:pPr>
              <w:spacing w:before="100" w:after="100"/>
            </w:pPr>
            <w:r>
              <w:rPr>
                <w:i/>
                <w:iCs/>
                <w:color w:val="888888"/>
                <w:sz w:val="20"/>
                <w:szCs w:val="20"/>
              </w:rPr>
              <w:t>→ Oznaczenie stron umowy (nazwa firmy, NIP) jest jawne. Ograniczeniu podlegają dane osobowe nie związane bezpośrednio z działalnością gospodarczą wykonawcy.</w:t>
            </w:r>
          </w:p>
        </w:tc>
      </w:tr>
      <w:tr w:rsidR="002A11AB" w14:paraId="3246FC6B" w14:textId="77777777">
        <w:tc>
          <w:tcPr>
            <w:tcW w:w="3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7669EF10" w14:textId="77777777" w:rsidR="002A11AB" w:rsidRDefault="00F364B3">
            <w:pPr>
              <w:spacing w:before="100" w:after="100"/>
            </w:pPr>
            <w:r>
              <w:rPr>
                <w:b/>
                <w:bCs/>
                <w:sz w:val="22"/>
                <w:szCs w:val="22"/>
              </w:rPr>
              <w:t>D. Inne prawnie chronione tajemnice</w:t>
            </w:r>
          </w:p>
          <w:p w14:paraId="5905296E" w14:textId="77777777" w:rsidR="002A11AB" w:rsidRDefault="00F364B3">
            <w:pPr>
              <w:spacing w:before="100" w:after="100"/>
            </w:pPr>
            <w:r>
              <w:rPr>
                <w:i/>
                <w:iCs/>
                <w:color w:val="555555"/>
                <w:sz w:val="20"/>
                <w:szCs w:val="20"/>
              </w:rPr>
              <w:t xml:space="preserve">(art. 5 ust. 1 i 2a–2b </w:t>
            </w:r>
            <w:proofErr w:type="spellStart"/>
            <w:r>
              <w:rPr>
                <w:i/>
                <w:iCs/>
                <w:color w:val="555555"/>
                <w:sz w:val="20"/>
                <w:szCs w:val="20"/>
              </w:rPr>
              <w:t>u.d.i.p</w:t>
            </w:r>
            <w:proofErr w:type="spellEnd"/>
            <w:r>
              <w:rPr>
                <w:i/>
                <w:iCs/>
                <w:color w:val="555555"/>
                <w:sz w:val="20"/>
                <w:szCs w:val="20"/>
              </w:rPr>
              <w:t>.)</w:t>
            </w:r>
          </w:p>
        </w:tc>
        <w:tc>
          <w:tcPr>
            <w:tcW w:w="58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36133B1A" w14:textId="77777777" w:rsidR="002A11AB" w:rsidRDefault="00F364B3">
            <w:pPr>
              <w:spacing w:before="100" w:after="100"/>
            </w:pPr>
            <w:r>
              <w:rPr>
                <w:sz w:val="22"/>
                <w:szCs w:val="22"/>
              </w:rPr>
              <w:t>Informacje objęte tajemnicami prawnie chronionymi na podstawie przepisów szczególnych, m.in.:</w:t>
            </w:r>
          </w:p>
          <w:p w14:paraId="1ACF1BA1" w14:textId="77777777" w:rsidR="002A11AB" w:rsidRDefault="00F364B3">
            <w:pPr>
              <w:pStyle w:val="Akapitzlist"/>
              <w:numPr>
                <w:ilvl w:val="0"/>
                <w:numId w:val="2"/>
              </w:numPr>
              <w:spacing w:before="60" w:after="40"/>
            </w:pPr>
            <w:r>
              <w:rPr>
                <w:sz w:val="22"/>
                <w:szCs w:val="22"/>
              </w:rPr>
              <w:t>tajemnica bankowa (art. 104 ustawy Prawo bankowe);</w:t>
            </w:r>
          </w:p>
          <w:p w14:paraId="1663B865" w14:textId="77777777" w:rsidR="002A11AB" w:rsidRDefault="00F364B3">
            <w:pPr>
              <w:pStyle w:val="Akapitzlist"/>
              <w:numPr>
                <w:ilvl w:val="0"/>
                <w:numId w:val="2"/>
              </w:numPr>
              <w:spacing w:before="40" w:after="40"/>
            </w:pPr>
            <w:r>
              <w:rPr>
                <w:sz w:val="22"/>
                <w:szCs w:val="22"/>
              </w:rPr>
              <w:t>tajemnica skarbowa (art. 293 Ordynacji podatkowej);</w:t>
            </w:r>
          </w:p>
          <w:p w14:paraId="0AA5CA6B" w14:textId="77777777" w:rsidR="002A11AB" w:rsidRDefault="00F364B3">
            <w:pPr>
              <w:pStyle w:val="Akapitzlist"/>
              <w:numPr>
                <w:ilvl w:val="0"/>
                <w:numId w:val="2"/>
              </w:numPr>
              <w:spacing w:before="40" w:after="60"/>
            </w:pPr>
            <w:r>
              <w:rPr>
                <w:sz w:val="22"/>
                <w:szCs w:val="22"/>
              </w:rPr>
              <w:t>tajemnica statystyczna;</w:t>
            </w:r>
          </w:p>
          <w:p w14:paraId="1553288A" w14:textId="77777777" w:rsidR="002A11AB" w:rsidRDefault="00F364B3">
            <w:pPr>
              <w:spacing w:before="100" w:after="100"/>
            </w:pPr>
            <w:r>
              <w:rPr>
                <w:i/>
                <w:iCs/>
                <w:color w:val="888888"/>
                <w:sz w:val="20"/>
                <w:szCs w:val="20"/>
              </w:rPr>
              <w:t>→ Przy umowach UKW może wystąpić np. przy umowach z bankami lub umowach dotyczących danych objętych tajemnicą statystyczną.</w:t>
            </w:r>
          </w:p>
        </w:tc>
      </w:tr>
    </w:tbl>
    <w:p w14:paraId="684E56E1" w14:textId="77777777" w:rsidR="002A11AB" w:rsidRDefault="002A11AB">
      <w:pPr>
        <w:spacing w:before="60" w:after="60"/>
      </w:pPr>
    </w:p>
    <w:p w14:paraId="2067F6EB" w14:textId="77777777" w:rsidR="002A11AB" w:rsidRDefault="002A11AB">
      <w:pPr>
        <w:spacing w:before="60" w:after="60"/>
      </w:pPr>
    </w:p>
    <w:p w14:paraId="4F784E8A" w14:textId="77777777" w:rsidR="002A11AB" w:rsidRDefault="002A11AB">
      <w:pPr>
        <w:pBdr>
          <w:bottom w:val="single" w:sz="4" w:space="4" w:color="AAAAAA"/>
        </w:pBdr>
        <w:spacing w:before="160" w:after="160"/>
      </w:pPr>
    </w:p>
    <w:p w14:paraId="5569F4AD" w14:textId="77777777" w:rsidR="002A11AB" w:rsidRDefault="002A11AB">
      <w:pPr>
        <w:spacing w:before="6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2A11AB" w14:paraId="0DF2FF41" w14:textId="77777777">
        <w:tc>
          <w:tcPr>
            <w:tcW w:w="0" w:type="auto"/>
            <w:tcBorders>
              <w:top w:val="single" w:sz="6" w:space="0" w:color="2E4057"/>
              <w:left w:val="single" w:sz="6" w:space="0" w:color="2E4057"/>
              <w:bottom w:val="single" w:sz="6" w:space="0" w:color="2E4057"/>
              <w:right w:val="single" w:sz="6" w:space="0" w:color="2E4057"/>
            </w:tcBorders>
            <w:shd w:val="clear" w:color="auto" w:fill="EEF2F7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5CDC63F1" w14:textId="77777777" w:rsidR="002A11AB" w:rsidRDefault="00F364B3">
            <w:pPr>
              <w:spacing w:before="100" w:after="100"/>
            </w:pPr>
            <w:r>
              <w:rPr>
                <w:b/>
                <w:bCs/>
              </w:rPr>
              <w:t>CZĘŚĆ III. Procedura wyłączenia jawności informacji o umowie w systemie CRU JSFP</w:t>
            </w:r>
          </w:p>
        </w:tc>
      </w:tr>
    </w:tbl>
    <w:p w14:paraId="3E3706E7" w14:textId="77777777" w:rsidR="002A11AB" w:rsidRDefault="002A11AB">
      <w:pPr>
        <w:spacing w:before="60" w:after="60"/>
      </w:pPr>
    </w:p>
    <w:p w14:paraId="60109EC9" w14:textId="77777777" w:rsidR="002A11AB" w:rsidRDefault="00F364B3">
      <w:pPr>
        <w:spacing w:before="100" w:after="100"/>
        <w:jc w:val="both"/>
      </w:pPr>
      <w:r>
        <w:t>W przypadku gdy umowa zawiera informacje niepodlegające udostępnieniu (Część II powyżej), Wprowadzający postępuje według następującej procedury:</w:t>
      </w:r>
    </w:p>
    <w:p w14:paraId="78A8812C" w14:textId="77777777" w:rsidR="002A11AB" w:rsidRDefault="002A11AB">
      <w:pPr>
        <w:spacing w:before="60" w:after="60"/>
      </w:pPr>
    </w:p>
    <w:p w14:paraId="7370745C" w14:textId="77777777" w:rsidR="002A11AB" w:rsidRDefault="00F364B3">
      <w:pPr>
        <w:spacing w:before="80"/>
        <w:jc w:val="both"/>
      </w:pPr>
      <w:r>
        <w:rPr>
          <w:b/>
          <w:bCs/>
        </w:rPr>
        <w:t xml:space="preserve">Krok 1. </w:t>
      </w:r>
    </w:p>
    <w:p w14:paraId="3C2CE588" w14:textId="77777777" w:rsidR="002A11AB" w:rsidRDefault="00F364B3">
      <w:pPr>
        <w:spacing w:before="100" w:after="100"/>
        <w:ind w:left="360"/>
        <w:jc w:val="both"/>
      </w:pPr>
      <w:r>
        <w:t xml:space="preserve">Umowę wpisuje się do systemu CRU JSFP w całości – tj. należy uzupełnić wszystkie pola wymagane przez art. 34a ust. 7 </w:t>
      </w:r>
      <w:proofErr w:type="spellStart"/>
      <w:r>
        <w:t>u.f.p</w:t>
      </w:r>
      <w:proofErr w:type="spellEnd"/>
      <w:r>
        <w:t>. (numer, data, strony, przedmiot, wartość, status).</w:t>
      </w:r>
    </w:p>
    <w:p w14:paraId="216E72D7" w14:textId="77777777" w:rsidR="002A11AB" w:rsidRDefault="002A11AB">
      <w:pPr>
        <w:spacing w:before="60" w:after="60"/>
      </w:pPr>
    </w:p>
    <w:p w14:paraId="2538732E" w14:textId="77777777" w:rsidR="002A11AB" w:rsidRDefault="00F364B3">
      <w:pPr>
        <w:spacing w:before="80"/>
        <w:jc w:val="both"/>
      </w:pPr>
      <w:r>
        <w:rPr>
          <w:b/>
          <w:bCs/>
        </w:rPr>
        <w:lastRenderedPageBreak/>
        <w:t xml:space="preserve">Krok 2. </w:t>
      </w:r>
    </w:p>
    <w:p w14:paraId="01A773B9" w14:textId="77777777" w:rsidR="002A11AB" w:rsidRDefault="00F364B3">
      <w:pPr>
        <w:spacing w:before="100" w:after="100"/>
        <w:ind w:left="360"/>
        <w:jc w:val="both"/>
      </w:pPr>
      <w:r>
        <w:t xml:space="preserve">W polu „podstawa prawna nieudostępnienia informacji” (art. 34a ust. 7 pkt 9 </w:t>
      </w:r>
      <w:proofErr w:type="spellStart"/>
      <w:r>
        <w:t>u.f.p</w:t>
      </w:r>
      <w:proofErr w:type="spellEnd"/>
      <w:r>
        <w:t xml:space="preserve">.) należy wpisać konkretny przepis stanowiący podstawę ograniczenia, np. art. 5 ust. 2 </w:t>
      </w:r>
      <w:proofErr w:type="spellStart"/>
      <w:r>
        <w:t>u.d.i.p</w:t>
      </w:r>
      <w:proofErr w:type="spellEnd"/>
      <w:r>
        <w:t>.</w:t>
      </w:r>
    </w:p>
    <w:p w14:paraId="100F22AD" w14:textId="77777777" w:rsidR="002A11AB" w:rsidRDefault="002A11AB">
      <w:pPr>
        <w:spacing w:before="60" w:after="60"/>
      </w:pPr>
    </w:p>
    <w:p w14:paraId="2FB20F9B" w14:textId="77777777" w:rsidR="002A11AB" w:rsidRDefault="00F364B3">
      <w:pPr>
        <w:spacing w:before="80"/>
        <w:jc w:val="both"/>
      </w:pPr>
      <w:r>
        <w:rPr>
          <w:b/>
          <w:bCs/>
        </w:rPr>
        <w:t xml:space="preserve">Krok 3. </w:t>
      </w:r>
    </w:p>
    <w:p w14:paraId="5D0D7A98" w14:textId="77777777" w:rsidR="002A11AB" w:rsidRDefault="00F364B3">
      <w:pPr>
        <w:spacing w:before="100" w:after="100"/>
        <w:ind w:left="360"/>
        <w:jc w:val="both"/>
      </w:pPr>
      <w:r>
        <w:t>W polu „organ lub osoba, które dokonały wyłączenia jawności” należy wskazać Rektora UKW lub osobę przez niego upoważnioną.</w:t>
      </w:r>
    </w:p>
    <w:p w14:paraId="69251423" w14:textId="77777777" w:rsidR="002A11AB" w:rsidRDefault="002A11AB">
      <w:pPr>
        <w:spacing w:before="60" w:after="60"/>
      </w:pPr>
    </w:p>
    <w:p w14:paraId="4E826F10" w14:textId="77777777" w:rsidR="007D1A48" w:rsidRDefault="007D1A48" w:rsidP="007D1A48">
      <w:pPr>
        <w:spacing w:before="80"/>
        <w:jc w:val="both"/>
      </w:pPr>
      <w:r>
        <w:rPr>
          <w:b/>
          <w:bCs/>
        </w:rPr>
        <w:t xml:space="preserve">Krok 4. </w:t>
      </w:r>
    </w:p>
    <w:p w14:paraId="7CEB8550" w14:textId="77777777" w:rsidR="007D1A48" w:rsidRDefault="007D1A48" w:rsidP="007D1A48">
      <w:pPr>
        <w:spacing w:before="60" w:after="60"/>
        <w:ind w:left="426"/>
      </w:pPr>
      <w:r>
        <w:t>W polu „zakres wyłączenia jawności” należy wybrać odpowiednią pozycję zgodnie z predefiniowanym słownikiem, np. przedmiot umowy.</w:t>
      </w:r>
    </w:p>
    <w:p w14:paraId="7266395B" w14:textId="77777777" w:rsidR="002A11AB" w:rsidRDefault="00F364B3">
      <w:pPr>
        <w:spacing w:before="80"/>
        <w:jc w:val="both"/>
      </w:pPr>
      <w:r>
        <w:rPr>
          <w:b/>
          <w:bCs/>
        </w:rPr>
        <w:t xml:space="preserve">Krok </w:t>
      </w:r>
      <w:r w:rsidR="007D1A48">
        <w:rPr>
          <w:b/>
          <w:bCs/>
        </w:rPr>
        <w:t>5</w:t>
      </w:r>
      <w:r>
        <w:rPr>
          <w:b/>
          <w:bCs/>
        </w:rPr>
        <w:t xml:space="preserve">. </w:t>
      </w:r>
    </w:p>
    <w:p w14:paraId="56B35C75" w14:textId="77777777" w:rsidR="002A11AB" w:rsidRDefault="00F364B3">
      <w:pPr>
        <w:spacing w:before="100" w:after="100"/>
        <w:ind w:left="360"/>
        <w:jc w:val="both"/>
      </w:pPr>
      <w:r>
        <w:t>Wyłączenie jawności wymaga pisemnego uzasadnienia przechowywanego w aktach sprawy przez DZP. Publiczne pola w CRU JSFP zostają automatycznie utajnione przez system po wprowadzeniu podstawy prawnej.</w:t>
      </w:r>
    </w:p>
    <w:sectPr w:rsidR="002A11AB">
      <w:pgSz w:w="11906" w:h="16838"/>
      <w:pgMar w:top="1418" w:right="1134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3578"/>
    <w:multiLevelType w:val="hybridMultilevel"/>
    <w:tmpl w:val="DE144DD4"/>
    <w:lvl w:ilvl="0" w:tplc="31A4E6F4">
      <w:start w:val="1"/>
      <w:numFmt w:val="bullet"/>
      <w:lvlText w:val="●"/>
      <w:lvlJc w:val="left"/>
      <w:pPr>
        <w:ind w:left="720" w:hanging="360"/>
      </w:pPr>
    </w:lvl>
    <w:lvl w:ilvl="1" w:tplc="A8A8CAE4">
      <w:start w:val="1"/>
      <w:numFmt w:val="bullet"/>
      <w:lvlText w:val="○"/>
      <w:lvlJc w:val="left"/>
      <w:pPr>
        <w:ind w:left="1440" w:hanging="360"/>
      </w:pPr>
    </w:lvl>
    <w:lvl w:ilvl="2" w:tplc="FFC8427A">
      <w:start w:val="1"/>
      <w:numFmt w:val="bullet"/>
      <w:lvlText w:val="■"/>
      <w:lvlJc w:val="left"/>
      <w:pPr>
        <w:ind w:left="2160" w:hanging="360"/>
      </w:pPr>
    </w:lvl>
    <w:lvl w:ilvl="3" w:tplc="AC2CACEE">
      <w:start w:val="1"/>
      <w:numFmt w:val="bullet"/>
      <w:lvlText w:val="●"/>
      <w:lvlJc w:val="left"/>
      <w:pPr>
        <w:ind w:left="2880" w:hanging="360"/>
      </w:pPr>
    </w:lvl>
    <w:lvl w:ilvl="4" w:tplc="C7ACBD62">
      <w:start w:val="1"/>
      <w:numFmt w:val="bullet"/>
      <w:lvlText w:val="○"/>
      <w:lvlJc w:val="left"/>
      <w:pPr>
        <w:ind w:left="3600" w:hanging="360"/>
      </w:pPr>
    </w:lvl>
    <w:lvl w:ilvl="5" w:tplc="F3BE4EEC">
      <w:start w:val="1"/>
      <w:numFmt w:val="bullet"/>
      <w:lvlText w:val="■"/>
      <w:lvlJc w:val="left"/>
      <w:pPr>
        <w:ind w:left="4320" w:hanging="360"/>
      </w:pPr>
    </w:lvl>
    <w:lvl w:ilvl="6" w:tplc="28941ED2">
      <w:start w:val="1"/>
      <w:numFmt w:val="bullet"/>
      <w:lvlText w:val="●"/>
      <w:lvlJc w:val="left"/>
      <w:pPr>
        <w:ind w:left="5040" w:hanging="360"/>
      </w:pPr>
    </w:lvl>
    <w:lvl w:ilvl="7" w:tplc="E0F6EC34">
      <w:start w:val="1"/>
      <w:numFmt w:val="bullet"/>
      <w:lvlText w:val="●"/>
      <w:lvlJc w:val="left"/>
      <w:pPr>
        <w:ind w:left="5760" w:hanging="360"/>
      </w:pPr>
    </w:lvl>
    <w:lvl w:ilvl="8" w:tplc="1680849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4605CB7"/>
    <w:multiLevelType w:val="hybridMultilevel"/>
    <w:tmpl w:val="5504F4B6"/>
    <w:lvl w:ilvl="0" w:tplc="7A163E32">
      <w:start w:val="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6876ECBC">
      <w:numFmt w:val="decimal"/>
      <w:lvlText w:val=""/>
      <w:lvlJc w:val="left"/>
    </w:lvl>
    <w:lvl w:ilvl="2" w:tplc="6A94385C">
      <w:numFmt w:val="decimal"/>
      <w:lvlText w:val=""/>
      <w:lvlJc w:val="left"/>
    </w:lvl>
    <w:lvl w:ilvl="3" w:tplc="A08A38D8">
      <w:numFmt w:val="decimal"/>
      <w:lvlText w:val=""/>
      <w:lvlJc w:val="left"/>
    </w:lvl>
    <w:lvl w:ilvl="4" w:tplc="0B6C7C9A">
      <w:numFmt w:val="decimal"/>
      <w:lvlText w:val=""/>
      <w:lvlJc w:val="left"/>
    </w:lvl>
    <w:lvl w:ilvl="5" w:tplc="A1B8904A">
      <w:numFmt w:val="decimal"/>
      <w:lvlText w:val=""/>
      <w:lvlJc w:val="left"/>
    </w:lvl>
    <w:lvl w:ilvl="6" w:tplc="C91477B2">
      <w:numFmt w:val="decimal"/>
      <w:lvlText w:val=""/>
      <w:lvlJc w:val="left"/>
    </w:lvl>
    <w:lvl w:ilvl="7" w:tplc="716E18A0">
      <w:numFmt w:val="decimal"/>
      <w:lvlText w:val=""/>
      <w:lvlJc w:val="left"/>
    </w:lvl>
    <w:lvl w:ilvl="8" w:tplc="37F4D59C">
      <w:numFmt w:val="decimal"/>
      <w:lvlText w:val=""/>
      <w:lvlJc w:val="left"/>
    </w:lvl>
  </w:abstractNum>
  <w:abstractNum w:abstractNumId="2" w15:restartNumberingAfterBreak="0">
    <w:nsid w:val="77042E69"/>
    <w:multiLevelType w:val="hybridMultilevel"/>
    <w:tmpl w:val="3E26C49A"/>
    <w:lvl w:ilvl="0" w:tplc="CD362D48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96409802">
      <w:numFmt w:val="decimal"/>
      <w:lvlText w:val=""/>
      <w:lvlJc w:val="left"/>
    </w:lvl>
    <w:lvl w:ilvl="2" w:tplc="F7A8769E">
      <w:numFmt w:val="decimal"/>
      <w:lvlText w:val=""/>
      <w:lvlJc w:val="left"/>
    </w:lvl>
    <w:lvl w:ilvl="3" w:tplc="E99A4C20">
      <w:numFmt w:val="decimal"/>
      <w:lvlText w:val=""/>
      <w:lvlJc w:val="left"/>
    </w:lvl>
    <w:lvl w:ilvl="4" w:tplc="E94A4108">
      <w:numFmt w:val="decimal"/>
      <w:lvlText w:val=""/>
      <w:lvlJc w:val="left"/>
    </w:lvl>
    <w:lvl w:ilvl="5" w:tplc="2CFABB6C">
      <w:numFmt w:val="decimal"/>
      <w:lvlText w:val=""/>
      <w:lvlJc w:val="left"/>
    </w:lvl>
    <w:lvl w:ilvl="6" w:tplc="9BD4BB16">
      <w:numFmt w:val="decimal"/>
      <w:lvlText w:val=""/>
      <w:lvlJc w:val="left"/>
    </w:lvl>
    <w:lvl w:ilvl="7" w:tplc="D018A858">
      <w:numFmt w:val="decimal"/>
      <w:lvlText w:val=""/>
      <w:lvlJc w:val="left"/>
    </w:lvl>
    <w:lvl w:ilvl="8" w:tplc="D6144464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1AB"/>
    <w:rsid w:val="002A11AB"/>
    <w:rsid w:val="007D1A48"/>
    <w:rsid w:val="00880CC7"/>
    <w:rsid w:val="008F441E"/>
    <w:rsid w:val="00D313D9"/>
    <w:rsid w:val="00F364B3"/>
    <w:rsid w:val="00FD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55A3B"/>
  <w15:docId w15:val="{B80F4EAA-AA19-4518-944E-E300750AE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A48"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5</Pages>
  <Words>1102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Paweł Januszewski</cp:lastModifiedBy>
  <cp:revision>5</cp:revision>
  <dcterms:created xsi:type="dcterms:W3CDTF">2026-06-23T09:31:00Z</dcterms:created>
  <dcterms:modified xsi:type="dcterms:W3CDTF">2026-07-08T15:07:00Z</dcterms:modified>
</cp:coreProperties>
</file>