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D6" w:rsidRDefault="00EC7CD6" w:rsidP="00EC7CD6">
      <w:pPr>
        <w:pStyle w:val="Akapitzlist"/>
        <w:jc w:val="both"/>
        <w:rPr>
          <w:rFonts w:ascii="Times New Roman" w:hAnsi="Times New Roman" w:cs="Times New Roman"/>
          <w:b/>
          <w:i/>
          <w:sz w:val="24"/>
        </w:rPr>
      </w:pPr>
    </w:p>
    <w:p w:rsidR="00EC7CD6" w:rsidRPr="00EC7CD6" w:rsidRDefault="00EC7CD6" w:rsidP="00EC7C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lang w:eastAsia="hi-IN" w:bidi="hi-IN"/>
        </w:rPr>
      </w:pPr>
      <w:r w:rsidRPr="00EC7CD6">
        <w:rPr>
          <w:rFonts w:ascii="Times New Roman" w:eastAsia="Lucida Sans Unicode" w:hAnsi="Times New Roman" w:cs="Tahoma"/>
          <w:noProof/>
          <w:sz w:val="24"/>
          <w:lang w:eastAsia="pl-PL"/>
        </w:rPr>
        <w:drawing>
          <wp:inline distT="0" distB="0" distL="0" distR="0" wp14:anchorId="418FE3E2" wp14:editId="482636BC">
            <wp:extent cx="5593557" cy="8286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47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D6" w:rsidRPr="00EC7CD6" w:rsidRDefault="00EC7CD6" w:rsidP="00EC7C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lang w:eastAsia="hi-IN" w:bidi="hi-IN"/>
        </w:rPr>
      </w:pPr>
    </w:p>
    <w:p w:rsidR="00EC7CD6" w:rsidRPr="00EC7CD6" w:rsidRDefault="00821C7F" w:rsidP="00EC7C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lang w:eastAsia="hi-IN" w:bidi="hi-IN"/>
        </w:rPr>
      </w:pPr>
      <w:r>
        <w:rPr>
          <w:rFonts w:ascii="Times New Roman" w:eastAsia="Lucida Sans Unicode" w:hAnsi="Times New Roman" w:cs="Tahoma"/>
          <w:sz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8240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Obraz" ShapeID="_x0000_s1026" DrawAspect="Content" ObjectID="_1438576989" r:id="rId8"/>
        </w:pict>
      </w:r>
      <w:r w:rsidR="00EC7CD6" w:rsidRPr="00EC7CD6">
        <w:rPr>
          <w:rFonts w:ascii="Times New Roman" w:eastAsia="Lucida Sans Unicode" w:hAnsi="Times New Roman" w:cs="Tahoma"/>
          <w:b/>
          <w:sz w:val="24"/>
          <w:lang w:eastAsia="hi-IN" w:bidi="hi-IN"/>
        </w:rPr>
        <w:t xml:space="preserve">UNIWERSYTET KAZIMIERZA WIELKIEGO </w:t>
      </w:r>
    </w:p>
    <w:p w:rsidR="00EC7CD6" w:rsidRPr="00EC7CD6" w:rsidRDefault="00EC7CD6" w:rsidP="00EC7CD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b/>
          <w:sz w:val="24"/>
          <w:lang w:eastAsia="hi-IN" w:bidi="hi-IN"/>
        </w:rPr>
      </w:pPr>
      <w:r w:rsidRPr="00EC7CD6">
        <w:rPr>
          <w:rFonts w:ascii="Times New Roman" w:eastAsia="Lucida Sans Unicode" w:hAnsi="Times New Roman" w:cs="Tahoma"/>
          <w:b/>
          <w:sz w:val="24"/>
          <w:lang w:eastAsia="hi-IN" w:bidi="hi-IN"/>
        </w:rPr>
        <w:t xml:space="preserve">                                  W BYDGOSZCZY</w:t>
      </w:r>
    </w:p>
    <w:p w:rsidR="00EC7CD6" w:rsidRPr="00EC7CD6" w:rsidRDefault="00EC7CD6" w:rsidP="00EC7CD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Cs w:val="18"/>
          <w:lang w:eastAsia="hi-IN" w:bidi="hi-IN"/>
        </w:rPr>
      </w:pPr>
      <w:r w:rsidRPr="00EC7CD6">
        <w:rPr>
          <w:rFonts w:ascii="Times New Roman" w:eastAsia="Lucida Sans Unicode" w:hAnsi="Times New Roman" w:cs="Tahoma"/>
          <w:szCs w:val="18"/>
          <w:lang w:eastAsia="hi-IN" w:bidi="hi-IN"/>
        </w:rPr>
        <w:t>ul. Chodkiewicza 30, 85 – 064 Bydgoszcz, tel. 052 341 91 00 fax. 052 360 82 06</w:t>
      </w:r>
    </w:p>
    <w:p w:rsidR="00EC7CD6" w:rsidRPr="00EC7CD6" w:rsidRDefault="00EC7CD6" w:rsidP="00EC7C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lang w:eastAsia="hi-IN" w:bidi="hi-IN"/>
        </w:rPr>
      </w:pPr>
      <w:r w:rsidRPr="00EC7CD6">
        <w:rPr>
          <w:rFonts w:ascii="Times New Roman" w:eastAsia="Lucida Sans Unicode" w:hAnsi="Times New Roman" w:cs="Tahoma"/>
          <w:sz w:val="24"/>
          <w:lang w:eastAsia="hi-IN" w:bidi="hi-IN"/>
        </w:rPr>
        <w:t>NIP 5542647568 REGON 340057695</w:t>
      </w:r>
    </w:p>
    <w:p w:rsidR="00EC7CD6" w:rsidRPr="00EC7CD6" w:rsidRDefault="00EC7CD6" w:rsidP="00EC7C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lang w:eastAsia="hi-IN" w:bidi="hi-IN"/>
        </w:rPr>
      </w:pPr>
      <w:r w:rsidRPr="00EC7CD6">
        <w:rPr>
          <w:rFonts w:ascii="Times New Roman" w:eastAsia="Lucida Sans Unicode" w:hAnsi="Times New Roman" w:cs="Tahoma"/>
          <w:sz w:val="24"/>
          <w:lang w:eastAsia="hi-IN" w:bidi="hi-IN"/>
        </w:rPr>
        <w:t>www.ukw.edu.pl</w:t>
      </w:r>
    </w:p>
    <w:p w:rsidR="00EC7CD6" w:rsidRPr="00EC7CD6" w:rsidRDefault="00EC7CD6" w:rsidP="00EC7CD6">
      <w:pPr>
        <w:keepNext/>
        <w:widowControl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after="0" w:line="240" w:lineRule="auto"/>
        <w:outlineLvl w:val="3"/>
        <w:rPr>
          <w:rFonts w:ascii="Bookman Old Style" w:eastAsia="Lucida Sans Unicode" w:hAnsi="Bookman Old Style" w:cs="Tahoma"/>
          <w:sz w:val="22"/>
          <w:szCs w:val="20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  <w:r w:rsidRPr="00EC7CD6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>UKW/BZP-R-39</w:t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>/2013</w:t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</w:r>
      <w:r w:rsidR="00821C7F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ab/>
        <w:t xml:space="preserve">        Bydgoszcz, 21</w:t>
      </w:r>
      <w:bookmarkStart w:id="0" w:name="_GoBack"/>
      <w:bookmarkEnd w:id="0"/>
      <w:r w:rsidRPr="00EC7CD6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>.08.2013 r.</w:t>
      </w: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  <w:r w:rsidRPr="00EC7CD6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>Do wszystkich Wykonawców zainteresowanych postępowaniem</w:t>
      </w: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  <w:r w:rsidRPr="00EC7CD6">
        <w:rPr>
          <w:rFonts w:ascii="Times New Roman" w:eastAsia="Lucida Sans Unicode" w:hAnsi="Times New Roman" w:cs="Tahoma"/>
          <w:sz w:val="22"/>
          <w:szCs w:val="22"/>
          <w:lang w:eastAsia="hi-IN" w:bidi="hi-IN"/>
        </w:rPr>
        <w:t xml:space="preserve">dot. postępowania prowadzonego w trybie przetargu nieograniczonego na: </w:t>
      </w: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2"/>
          <w:szCs w:val="22"/>
          <w:lang w:eastAsia="hi-IN" w:bidi="hi-IN"/>
        </w:rPr>
      </w:pPr>
    </w:p>
    <w:p w:rsidR="00EC7CD6" w:rsidRP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sz w:val="22"/>
          <w:szCs w:val="22"/>
          <w:lang w:eastAsia="hi-IN" w:bidi="hi-IN"/>
        </w:rPr>
      </w:pPr>
      <w:r w:rsidRPr="00EC7CD6">
        <w:rPr>
          <w:rFonts w:ascii="Times New Roman" w:eastAsia="Lucida Sans Unicode" w:hAnsi="Times New Roman" w:cs="Tahoma"/>
          <w:b/>
          <w:sz w:val="22"/>
          <w:szCs w:val="22"/>
          <w:lang w:eastAsia="hi-IN" w:bidi="hi-IN"/>
        </w:rPr>
        <w:t>Roboty budowlane i modernizacja obiektów Centrum Edukacji Kultury Fizycznej i Sportu – II etap</w:t>
      </w:r>
    </w:p>
    <w:p w:rsidR="00EC7CD6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  <w:t>N</w:t>
      </w:r>
      <w:r w:rsidRPr="00FB5A23"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  <w:t xml:space="preserve">a podstawie art. 38 ust. 2 ustawy z dnia 29 stycznia 2004 r. Prawo zamówień publicznych (Dz. U. z 2010 r. Nr 113, poz. 759 ze zm.) Uniwersytet Kazimierza Wielkiego  w Bydgoszczy informuje, że w </w:t>
      </w:r>
      <w:r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  <w:t>dniach 12-14</w:t>
      </w:r>
      <w:r w:rsidRPr="00FB5A23"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  <w:t xml:space="preserve"> sierpnia 2013 r</w:t>
      </w:r>
      <w:r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  <w:t>.</w:t>
      </w:r>
      <w:r w:rsidRPr="00FB5A23"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  <w:t xml:space="preserve"> wpłynęły faksem i mailem zapytania o następującej treści:</w:t>
      </w:r>
    </w:p>
    <w:p w:rsidR="00EC7CD6" w:rsidRPr="00FB5A23" w:rsidRDefault="00EC7CD6" w:rsidP="00EC7CD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2"/>
          <w:szCs w:val="22"/>
          <w:lang w:eastAsia="hi-IN" w:bidi="hi-IN"/>
        </w:rPr>
      </w:pPr>
    </w:p>
    <w:p w:rsidR="00EC7CD6" w:rsidRPr="00FB5A23" w:rsidRDefault="00EC7CD6" w:rsidP="00EC7CD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FB5A2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Czy na tablicy tenisowej nazwa imprezy ma być wyświetlana na linii tekstowej ?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 </w:t>
      </w:r>
      <w:r w:rsidRPr="00FB5A2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Informuję, że przy zachowaniu wyświetlanych parametrów opisanych w specyfikacji tablica będzie miała wymiar ok. 2500 x 1800 mm a nie 1500 x 1000.</w:t>
      </w:r>
    </w:p>
    <w:p w:rsidR="00EC7CD6" w:rsidRPr="00FB5A23" w:rsidRDefault="00EC7CD6" w:rsidP="00EC7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pl-PL"/>
        </w:rPr>
      </w:pPr>
    </w:p>
    <w:p w:rsidR="00EC7CD6" w:rsidRDefault="00EC7CD6" w:rsidP="00EC7C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</w:pPr>
      <w:r w:rsidRPr="00FB5A23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/>
        </w:rPr>
        <w:t>Odpowiedź:</w:t>
      </w:r>
      <w:r w:rsidRPr="00FB5A23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  <w:t xml:space="preserve"> Nazwa imprezy ma być wyświetlana na linii tekstowej tablicy tenisowej. Zamawiający podtrzymuje zapisy SIWZ odnośnie wymiarów tablicy, czyli 1500 x 1000.</w:t>
      </w:r>
    </w:p>
    <w:p w:rsidR="00EC7CD6" w:rsidRDefault="00EC7CD6" w:rsidP="00EC7C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</w:pPr>
    </w:p>
    <w:p w:rsidR="00EC7CD6" w:rsidRPr="00FB5A23" w:rsidRDefault="00EC7CD6" w:rsidP="00EC7C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FB5A23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 uwagi na dużą wartość przetargu (powyżej 5 000 000,00 euro) i związany z tym określony przez Zamawiającego w SIWZ p.5 szeroki zakres robót, a także konieczność spełnienia przez Wykonawcę wymogu załączenia kosztorysu ofertowego, opracowanego na podstawie załączonych przedmiarów robót, biorąc pod uwagę wyznaczony w SIWZ, p.12.1, krótki termin składania ofert, uprzejmie proszę o udostępnienie przedmiarów robót w wersji edytowalnej, co znacznie skróci czas przygotowania oferty. </w:t>
      </w:r>
    </w:p>
    <w:p w:rsidR="00EC7CD6" w:rsidRPr="00FB5A23" w:rsidRDefault="00EC7CD6" w:rsidP="00EC7C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</w:pPr>
    </w:p>
    <w:p w:rsidR="00EC7CD6" w:rsidRPr="00FB5A23" w:rsidRDefault="00EC7CD6" w:rsidP="00EC7C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</w:pPr>
      <w:r w:rsidRPr="00FB5A23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eastAsia="pl-PL"/>
        </w:rPr>
        <w:t>Odpowiedź:</w:t>
      </w:r>
      <w:r w:rsidRPr="00FB5A23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  <w:t xml:space="preserve"> Zamawiający załącza do SIWZ przedmiar robót, który ma charakter informacyjny i nie jest zestawieniem planowanych robót.</w:t>
      </w:r>
    </w:p>
    <w:p w:rsidR="00EC7CD6" w:rsidRPr="00FB5A23" w:rsidRDefault="00EC7CD6" w:rsidP="00EC7C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</w:pPr>
      <w:r w:rsidRPr="00FB5A23"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  <w:t>Dodatkowo Zamawiający informuje, że wartość zamówienia powyżej 5 000 000 euro wynika z faktu iż całość zadania pn. „ Centrum Edukacji Kultury Fizycznej i Sportu Uniwersytetu Kazimierza Wielkiego” została podzielona na dwa etapy. Etap I został już zrealizowany. Przedmiotem niniejszego postępowania jest Etap II opisany w SIWZ i załącznikach zamieszcz</w:t>
      </w:r>
      <w:r>
        <w:rPr>
          <w:rFonts w:ascii="Times New Roman" w:eastAsia="Times New Roman" w:hAnsi="Times New Roman" w:cs="Times New Roman"/>
          <w:i/>
          <w:kern w:val="0"/>
          <w:sz w:val="22"/>
          <w:szCs w:val="22"/>
          <w:lang w:eastAsia="pl-PL"/>
        </w:rPr>
        <w:t xml:space="preserve">onych na stronie internetowej. </w:t>
      </w: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496"/>
    <w:multiLevelType w:val="hybridMultilevel"/>
    <w:tmpl w:val="D26E821C"/>
    <w:lvl w:ilvl="0" w:tplc="E2323B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D6"/>
    <w:rsid w:val="00104E03"/>
    <w:rsid w:val="00511973"/>
    <w:rsid w:val="00821C7F"/>
    <w:rsid w:val="00E67DD1"/>
    <w:rsid w:val="00E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D6"/>
    <w:rPr>
      <w:rFonts w:ascii="Arial" w:eastAsia="Calibri" w:hAnsi="Arial" w:cs="Arial"/>
      <w:kern w:val="2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D6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D6"/>
    <w:rPr>
      <w:rFonts w:ascii="Arial" w:eastAsia="Calibri" w:hAnsi="Arial" w:cs="Arial"/>
      <w:kern w:val="2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D6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2013-08-20T11:33:00Z</dcterms:created>
  <dcterms:modified xsi:type="dcterms:W3CDTF">2013-08-21T05:57:00Z</dcterms:modified>
</cp:coreProperties>
</file>