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059" w:rsidRDefault="008E11AF" w:rsidP="00911059">
      <w:pPr>
        <w:spacing w:line="360" w:lineRule="auto"/>
        <w:jc w:val="right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Załącznik nr 2</w:t>
      </w:r>
    </w:p>
    <w:p w:rsidR="00911059" w:rsidRDefault="00911059" w:rsidP="0091105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911059" w:rsidRDefault="00911059" w:rsidP="00911059">
      <w:pPr>
        <w:spacing w:line="360" w:lineRule="auto"/>
        <w:jc w:val="center"/>
        <w:rPr>
          <w:rFonts w:ascii="Century Gothic" w:hAnsi="Century Gothic"/>
          <w:b/>
        </w:rPr>
      </w:pPr>
      <w:r w:rsidRPr="007540BB">
        <w:rPr>
          <w:rFonts w:ascii="Century Gothic" w:hAnsi="Century Gothic"/>
          <w:b/>
        </w:rPr>
        <w:t>SZCZEGÓŁOWY OPIS PRZEDMIOTU ZAMÓWIENIA</w:t>
      </w:r>
    </w:p>
    <w:p w:rsidR="008B394C" w:rsidRPr="007540BB" w:rsidRDefault="008B394C" w:rsidP="00911059">
      <w:pPr>
        <w:spacing w:line="360" w:lineRule="auto"/>
        <w:jc w:val="center"/>
        <w:rPr>
          <w:rFonts w:ascii="Century Gothic" w:hAnsi="Century Gothic"/>
          <w:b/>
        </w:rPr>
      </w:pPr>
    </w:p>
    <w:p w:rsidR="000A4371" w:rsidRPr="008B394C" w:rsidRDefault="008E11AF" w:rsidP="008B394C">
      <w:pPr>
        <w:spacing w:line="360" w:lineRule="auto"/>
        <w:jc w:val="both"/>
        <w:rPr>
          <w:rFonts w:ascii="Century Gothic" w:hAnsi="Century Gothic" w:cs="Tahoma"/>
          <w:sz w:val="20"/>
          <w:szCs w:val="20"/>
        </w:rPr>
      </w:pPr>
      <w:r w:rsidRPr="008B394C">
        <w:rPr>
          <w:rFonts w:ascii="Century Gothic" w:hAnsi="Century Gothic"/>
          <w:sz w:val="20"/>
          <w:szCs w:val="20"/>
        </w:rPr>
        <w:t xml:space="preserve">1. </w:t>
      </w:r>
      <w:r w:rsidRPr="008B394C">
        <w:rPr>
          <w:rFonts w:ascii="Century Gothic" w:hAnsi="Century Gothic" w:cs="Tahoma"/>
          <w:sz w:val="20"/>
          <w:szCs w:val="20"/>
        </w:rPr>
        <w:t>Demontaż starych okien drewnianych, parapetów zewnętrznych i wykonanie, dostarczenie i montaż okien PCV i parapetów zewnętrznych</w:t>
      </w:r>
      <w:r w:rsidR="0065332C" w:rsidRPr="008B394C">
        <w:rPr>
          <w:rFonts w:ascii="Century Gothic" w:hAnsi="Century Gothic" w:cs="Tahoma"/>
          <w:sz w:val="20"/>
          <w:szCs w:val="20"/>
        </w:rPr>
        <w:t xml:space="preserve"> - 4 </w:t>
      </w:r>
      <w:proofErr w:type="spellStart"/>
      <w:r w:rsidR="0065332C" w:rsidRPr="008B394C">
        <w:rPr>
          <w:rFonts w:ascii="Century Gothic" w:hAnsi="Century Gothic" w:cs="Tahoma"/>
          <w:sz w:val="20"/>
          <w:szCs w:val="20"/>
        </w:rPr>
        <w:t>kpl</w:t>
      </w:r>
      <w:proofErr w:type="spellEnd"/>
      <w:r w:rsidR="008B394C">
        <w:rPr>
          <w:rFonts w:ascii="Century Gothic" w:hAnsi="Century Gothic" w:cs="Tahoma"/>
          <w:sz w:val="20"/>
          <w:szCs w:val="20"/>
        </w:rPr>
        <w:t>.</w:t>
      </w:r>
      <w:r w:rsidR="0065332C" w:rsidRPr="008B394C">
        <w:rPr>
          <w:rFonts w:ascii="Century Gothic" w:hAnsi="Century Gothic" w:cs="Tahoma"/>
          <w:sz w:val="20"/>
          <w:szCs w:val="20"/>
        </w:rPr>
        <w:t xml:space="preserve"> (</w:t>
      </w:r>
      <w:r w:rsidR="0065332C" w:rsidRPr="008B394C">
        <w:rPr>
          <w:rFonts w:ascii="Century Gothic" w:hAnsi="Century Gothic" w:cs="Tahoma"/>
          <w:sz w:val="20"/>
          <w:szCs w:val="20"/>
        </w:rPr>
        <w:t>okno + parapet zewnętrzny</w:t>
      </w:r>
      <w:r w:rsidR="0065332C" w:rsidRPr="008B394C">
        <w:rPr>
          <w:rFonts w:ascii="Century Gothic" w:hAnsi="Century Gothic" w:cs="Tahoma"/>
          <w:sz w:val="20"/>
          <w:szCs w:val="20"/>
        </w:rPr>
        <w:t>).</w:t>
      </w:r>
    </w:p>
    <w:p w:rsidR="0065332C" w:rsidRPr="008B394C" w:rsidRDefault="0065332C" w:rsidP="008B394C">
      <w:pPr>
        <w:spacing w:line="360" w:lineRule="auto"/>
        <w:jc w:val="both"/>
        <w:rPr>
          <w:rFonts w:ascii="Century Gothic" w:hAnsi="Century Gothic" w:cs="Tahoma"/>
          <w:sz w:val="20"/>
          <w:szCs w:val="20"/>
        </w:rPr>
      </w:pPr>
    </w:p>
    <w:p w:rsidR="0065332C" w:rsidRPr="008B394C" w:rsidRDefault="0065332C" w:rsidP="008B394C">
      <w:pPr>
        <w:autoSpaceDE w:val="0"/>
        <w:autoSpaceDN w:val="0"/>
        <w:adjustRightInd w:val="0"/>
        <w:spacing w:after="120" w:line="360" w:lineRule="auto"/>
        <w:jc w:val="both"/>
        <w:rPr>
          <w:rFonts w:ascii="Century Gothic" w:hAnsi="Century Gothic" w:cs="Tahoma"/>
          <w:sz w:val="20"/>
          <w:szCs w:val="20"/>
        </w:rPr>
      </w:pPr>
      <w:r w:rsidRPr="008B394C">
        <w:rPr>
          <w:rFonts w:ascii="Century Gothic" w:hAnsi="Century Gothic" w:cs="Tahoma"/>
          <w:sz w:val="20"/>
          <w:szCs w:val="20"/>
        </w:rPr>
        <w:t>Ponadto wykonanie obróbek tynkarsko – malarskich ościeży zewnętrznych i wewnętrznych.</w:t>
      </w:r>
    </w:p>
    <w:p w:rsidR="0065332C" w:rsidRPr="008B394C" w:rsidRDefault="0065332C" w:rsidP="008B394C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</w:p>
    <w:p w:rsidR="0065332C" w:rsidRPr="008B394C" w:rsidRDefault="0065332C" w:rsidP="008B394C">
      <w:pPr>
        <w:spacing w:line="360" w:lineRule="auto"/>
        <w:jc w:val="both"/>
        <w:rPr>
          <w:rFonts w:ascii="Century Gothic" w:hAnsi="Century Gothic" w:cs="Tahoma"/>
          <w:sz w:val="20"/>
          <w:szCs w:val="20"/>
        </w:rPr>
      </w:pPr>
      <w:r w:rsidRPr="008B394C">
        <w:rPr>
          <w:rFonts w:ascii="Century Gothic" w:hAnsi="Century Gothic"/>
          <w:sz w:val="20"/>
          <w:szCs w:val="20"/>
        </w:rPr>
        <w:t xml:space="preserve">miejsce montażu: </w:t>
      </w:r>
      <w:r w:rsidRPr="008B394C">
        <w:rPr>
          <w:rFonts w:ascii="Century Gothic" w:hAnsi="Century Gothic" w:cs="Tahoma"/>
          <w:sz w:val="20"/>
          <w:szCs w:val="20"/>
        </w:rPr>
        <w:t>Bydgoszcz ul. Staffa 1 – korytarz I piętra przy sali nr 104</w:t>
      </w:r>
      <w:r w:rsidR="008B394C" w:rsidRPr="008B394C">
        <w:rPr>
          <w:rFonts w:ascii="Century Gothic" w:hAnsi="Century Gothic" w:cs="Tahoma"/>
          <w:sz w:val="20"/>
          <w:szCs w:val="20"/>
        </w:rPr>
        <w:t xml:space="preserve"> (</w:t>
      </w:r>
      <w:r w:rsidR="008B394C" w:rsidRPr="008B394C">
        <w:rPr>
          <w:rFonts w:ascii="Century Gothic" w:hAnsi="Century Gothic" w:cs="Tahoma"/>
          <w:sz w:val="20"/>
          <w:szCs w:val="20"/>
        </w:rPr>
        <w:t>2 szt.</w:t>
      </w:r>
      <w:r w:rsidR="008B394C" w:rsidRPr="008B394C">
        <w:rPr>
          <w:rFonts w:ascii="Century Gothic" w:hAnsi="Century Gothic" w:cs="Tahoma"/>
          <w:sz w:val="20"/>
          <w:szCs w:val="20"/>
        </w:rPr>
        <w:t xml:space="preserve">) </w:t>
      </w:r>
      <w:r w:rsidRPr="008B394C">
        <w:rPr>
          <w:rFonts w:ascii="Century Gothic" w:hAnsi="Century Gothic" w:cs="Tahoma"/>
          <w:sz w:val="20"/>
          <w:szCs w:val="20"/>
        </w:rPr>
        <w:t xml:space="preserve"> i sala 104</w:t>
      </w:r>
      <w:r w:rsidR="008B394C" w:rsidRPr="008B394C">
        <w:rPr>
          <w:rFonts w:ascii="Century Gothic" w:hAnsi="Century Gothic" w:cs="Tahoma"/>
          <w:sz w:val="20"/>
          <w:szCs w:val="20"/>
        </w:rPr>
        <w:t xml:space="preserve"> (</w:t>
      </w:r>
      <w:r w:rsidR="008B394C" w:rsidRPr="008B394C">
        <w:rPr>
          <w:rFonts w:ascii="Century Gothic" w:hAnsi="Century Gothic" w:cs="Tahoma"/>
          <w:sz w:val="20"/>
          <w:szCs w:val="20"/>
        </w:rPr>
        <w:t>2 szt.</w:t>
      </w:r>
      <w:r w:rsidR="008B394C" w:rsidRPr="008B394C">
        <w:rPr>
          <w:rFonts w:ascii="Century Gothic" w:hAnsi="Century Gothic" w:cs="Tahoma"/>
          <w:sz w:val="20"/>
          <w:szCs w:val="20"/>
        </w:rPr>
        <w:t>)</w:t>
      </w:r>
    </w:p>
    <w:p w:rsidR="0065332C" w:rsidRPr="008B394C" w:rsidRDefault="0065332C" w:rsidP="008B394C">
      <w:pPr>
        <w:spacing w:line="360" w:lineRule="auto"/>
        <w:rPr>
          <w:rFonts w:ascii="Century Gothic" w:hAnsi="Century Gothic" w:cs="Tahoma"/>
          <w:sz w:val="20"/>
          <w:szCs w:val="20"/>
        </w:rPr>
      </w:pPr>
    </w:p>
    <w:p w:rsidR="008B394C" w:rsidRPr="008B394C" w:rsidRDefault="008B394C" w:rsidP="008B394C">
      <w:pPr>
        <w:pStyle w:val="Akapitzlist"/>
        <w:numPr>
          <w:ilvl w:val="0"/>
          <w:numId w:val="1"/>
        </w:numPr>
        <w:spacing w:line="360" w:lineRule="auto"/>
        <w:rPr>
          <w:rFonts w:ascii="Century Gothic" w:hAnsi="Century Gothic"/>
          <w:sz w:val="22"/>
          <w:szCs w:val="22"/>
          <w:u w:val="single"/>
        </w:rPr>
      </w:pPr>
      <w:r w:rsidRPr="008B394C">
        <w:rPr>
          <w:rFonts w:ascii="Century Gothic" w:hAnsi="Century Gothic"/>
          <w:sz w:val="22"/>
          <w:szCs w:val="22"/>
          <w:u w:val="single"/>
        </w:rPr>
        <w:t>Wymiary i podział zgod</w:t>
      </w:r>
      <w:r w:rsidRPr="008B394C">
        <w:rPr>
          <w:rFonts w:ascii="Century Gothic" w:hAnsi="Century Gothic"/>
          <w:sz w:val="22"/>
          <w:szCs w:val="22"/>
          <w:u w:val="single"/>
        </w:rPr>
        <w:t>nie z wytycznymi na rysunku nr 2</w:t>
      </w:r>
      <w:r w:rsidRPr="008B394C">
        <w:rPr>
          <w:rFonts w:ascii="Century Gothic" w:hAnsi="Century Gothic"/>
          <w:sz w:val="22"/>
          <w:szCs w:val="22"/>
          <w:u w:val="single"/>
        </w:rPr>
        <w:t>.</w:t>
      </w:r>
    </w:p>
    <w:p w:rsidR="0065332C" w:rsidRDefault="008B394C" w:rsidP="008B394C">
      <w:pPr>
        <w:pStyle w:val="Akapitzlist"/>
      </w:pPr>
      <w:r>
        <w:rPr>
          <w:noProof/>
        </w:rPr>
        <w:drawing>
          <wp:inline distT="0" distB="0" distL="0" distR="0">
            <wp:extent cx="5265042" cy="4067175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ys nr 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7297" cy="4068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B394C" w:rsidRDefault="008B394C" w:rsidP="008B394C">
      <w:pPr>
        <w:pStyle w:val="Akapitzlist"/>
      </w:pPr>
    </w:p>
    <w:p w:rsidR="008B394C" w:rsidRPr="008B394C" w:rsidRDefault="008B394C" w:rsidP="008B394C">
      <w:pPr>
        <w:pStyle w:val="Akapitzlist"/>
        <w:numPr>
          <w:ilvl w:val="0"/>
          <w:numId w:val="1"/>
        </w:numPr>
        <w:spacing w:line="360" w:lineRule="auto"/>
        <w:rPr>
          <w:rFonts w:ascii="Century Gothic" w:hAnsi="Century Gothic"/>
          <w:sz w:val="22"/>
          <w:szCs w:val="22"/>
          <w:u w:val="single"/>
        </w:rPr>
      </w:pPr>
      <w:r w:rsidRPr="008B394C">
        <w:rPr>
          <w:rFonts w:ascii="Century Gothic" w:hAnsi="Century Gothic"/>
          <w:sz w:val="22"/>
          <w:szCs w:val="22"/>
          <w:u w:val="single"/>
        </w:rPr>
        <w:t>Wymagania, jakie muszą spełniać okna i parapety:</w:t>
      </w:r>
    </w:p>
    <w:p w:rsidR="008B394C" w:rsidRPr="008B394C" w:rsidRDefault="008B394C" w:rsidP="008B394C">
      <w:pPr>
        <w:pStyle w:val="Akapitzlist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8B394C">
        <w:rPr>
          <w:rFonts w:ascii="Century Gothic" w:hAnsi="Century Gothic"/>
          <w:sz w:val="20"/>
          <w:szCs w:val="20"/>
        </w:rPr>
        <w:t>- P</w:t>
      </w:r>
      <w:r w:rsidRPr="008B394C">
        <w:rPr>
          <w:rFonts w:ascii="Century Gothic" w:hAnsi="Century Gothic"/>
          <w:sz w:val="20"/>
          <w:szCs w:val="20"/>
        </w:rPr>
        <w:t>ro</w:t>
      </w:r>
      <w:r w:rsidRPr="008B394C">
        <w:rPr>
          <w:rFonts w:ascii="Century Gothic" w:hAnsi="Century Gothic"/>
          <w:sz w:val="20"/>
          <w:szCs w:val="20"/>
        </w:rPr>
        <w:t>fil okienny minimum 5 komorowy -</w:t>
      </w:r>
      <w:r w:rsidRPr="008B394C">
        <w:rPr>
          <w:rFonts w:ascii="Century Gothic" w:hAnsi="Century Gothic"/>
          <w:sz w:val="20"/>
          <w:szCs w:val="20"/>
        </w:rPr>
        <w:t xml:space="preserve"> kolor biały</w:t>
      </w:r>
      <w:r w:rsidRPr="008B394C">
        <w:rPr>
          <w:rFonts w:ascii="Century Gothic" w:hAnsi="Century Gothic"/>
          <w:sz w:val="20"/>
          <w:szCs w:val="20"/>
        </w:rPr>
        <w:t>.</w:t>
      </w:r>
    </w:p>
    <w:p w:rsidR="008B394C" w:rsidRPr="008B394C" w:rsidRDefault="008B394C" w:rsidP="008B394C">
      <w:pPr>
        <w:pStyle w:val="Akapitzlist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8B394C">
        <w:rPr>
          <w:rFonts w:ascii="Century Gothic" w:hAnsi="Century Gothic"/>
          <w:sz w:val="20"/>
          <w:szCs w:val="20"/>
        </w:rPr>
        <w:t xml:space="preserve">- Okna jednoramowe, </w:t>
      </w:r>
      <w:r w:rsidRPr="008B394C">
        <w:rPr>
          <w:rFonts w:ascii="Century Gothic" w:hAnsi="Century Gothic"/>
          <w:sz w:val="20"/>
          <w:szCs w:val="20"/>
        </w:rPr>
        <w:t xml:space="preserve">z </w:t>
      </w:r>
      <w:proofErr w:type="spellStart"/>
      <w:r w:rsidRPr="008B394C">
        <w:rPr>
          <w:rFonts w:ascii="Century Gothic" w:hAnsi="Century Gothic"/>
          <w:sz w:val="20"/>
          <w:szCs w:val="20"/>
        </w:rPr>
        <w:t>okuciami</w:t>
      </w:r>
      <w:proofErr w:type="spellEnd"/>
      <w:r w:rsidRPr="008B394C">
        <w:rPr>
          <w:rFonts w:ascii="Century Gothic" w:hAnsi="Century Gothic"/>
          <w:sz w:val="20"/>
          <w:szCs w:val="20"/>
        </w:rPr>
        <w:t xml:space="preserve"> obwiedniowymi z możliwością mikrowentylacji przy zamkniętym skrzydle</w:t>
      </w:r>
      <w:r w:rsidRPr="008B394C">
        <w:rPr>
          <w:rFonts w:ascii="Century Gothic" w:hAnsi="Century Gothic"/>
          <w:sz w:val="20"/>
          <w:szCs w:val="20"/>
        </w:rPr>
        <w:t>.</w:t>
      </w:r>
    </w:p>
    <w:p w:rsidR="008B394C" w:rsidRPr="008B394C" w:rsidRDefault="008B394C" w:rsidP="008B394C">
      <w:pPr>
        <w:pStyle w:val="Akapitzlist"/>
        <w:spacing w:line="360" w:lineRule="auto"/>
        <w:jc w:val="both"/>
        <w:rPr>
          <w:rFonts w:ascii="Century Gothic" w:hAnsi="Century Gothic"/>
          <w:sz w:val="20"/>
          <w:szCs w:val="20"/>
          <w:shd w:val="clear" w:color="auto" w:fill="FFFFFF"/>
        </w:rPr>
      </w:pPr>
      <w:r w:rsidRPr="008B394C">
        <w:rPr>
          <w:rFonts w:ascii="Century Gothic" w:hAnsi="Century Gothic"/>
          <w:sz w:val="20"/>
          <w:szCs w:val="20"/>
        </w:rPr>
        <w:lastRenderedPageBreak/>
        <w:t>- Sz</w:t>
      </w:r>
      <w:r w:rsidRPr="008B394C">
        <w:rPr>
          <w:rFonts w:ascii="Century Gothic" w:hAnsi="Century Gothic"/>
          <w:sz w:val="20"/>
          <w:szCs w:val="20"/>
        </w:rPr>
        <w:t xml:space="preserve">yba jednokomorowa bezbarwna, przeźroczysta 4/16/4 o współczynniku termicznym co najmniej k=1,1 W/m2*K. </w:t>
      </w:r>
      <w:r w:rsidRPr="008B394C">
        <w:rPr>
          <w:rFonts w:ascii="Century Gothic" w:hAnsi="Century Gothic"/>
          <w:sz w:val="20"/>
          <w:szCs w:val="20"/>
          <w:shd w:val="clear" w:color="auto" w:fill="FFFFFF"/>
        </w:rPr>
        <w:t>Przestrzeń międzyszybowa wypełniona miesz</w:t>
      </w:r>
      <w:r w:rsidRPr="008B394C">
        <w:rPr>
          <w:rFonts w:ascii="Century Gothic" w:hAnsi="Century Gothic"/>
          <w:sz w:val="20"/>
          <w:szCs w:val="20"/>
          <w:shd w:val="clear" w:color="auto" w:fill="FFFFFF"/>
        </w:rPr>
        <w:t>aniną argonu i powietrza.</w:t>
      </w:r>
    </w:p>
    <w:p w:rsidR="008B394C" w:rsidRPr="008B394C" w:rsidRDefault="008B394C" w:rsidP="008B394C">
      <w:pPr>
        <w:pStyle w:val="Akapitzlist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8B394C">
        <w:rPr>
          <w:rFonts w:ascii="Century Gothic" w:hAnsi="Century Gothic"/>
          <w:sz w:val="20"/>
          <w:szCs w:val="20"/>
          <w:shd w:val="clear" w:color="auto" w:fill="FFFFFF"/>
        </w:rPr>
        <w:t xml:space="preserve">- Klamki </w:t>
      </w:r>
      <w:r w:rsidRPr="008B394C">
        <w:rPr>
          <w:rFonts w:ascii="Century Gothic" w:hAnsi="Century Gothic"/>
          <w:sz w:val="20"/>
          <w:szCs w:val="20"/>
        </w:rPr>
        <w:t>aluminiowe powlekane, w kolorze stolarki - standardu producenta</w:t>
      </w:r>
      <w:r w:rsidRPr="008B394C">
        <w:rPr>
          <w:rFonts w:ascii="Century Gothic" w:hAnsi="Century Gothic"/>
          <w:sz w:val="20"/>
          <w:szCs w:val="20"/>
        </w:rPr>
        <w:t>.</w:t>
      </w:r>
    </w:p>
    <w:p w:rsidR="008B394C" w:rsidRPr="008B394C" w:rsidRDefault="008B394C" w:rsidP="008B394C">
      <w:pPr>
        <w:pStyle w:val="Akapitzlist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8B394C">
        <w:rPr>
          <w:rFonts w:ascii="Century Gothic" w:hAnsi="Century Gothic"/>
          <w:sz w:val="20"/>
          <w:szCs w:val="20"/>
        </w:rPr>
        <w:t xml:space="preserve">- W </w:t>
      </w:r>
      <w:r w:rsidRPr="008B394C">
        <w:rPr>
          <w:rFonts w:ascii="Century Gothic" w:hAnsi="Century Gothic"/>
          <w:sz w:val="20"/>
          <w:szCs w:val="20"/>
        </w:rPr>
        <w:t>ramach okiennych zamocowane regulowane nawiewy zimnego powietrza</w:t>
      </w:r>
      <w:r w:rsidRPr="008B394C">
        <w:rPr>
          <w:rFonts w:ascii="Century Gothic" w:hAnsi="Century Gothic"/>
          <w:sz w:val="20"/>
          <w:szCs w:val="20"/>
        </w:rPr>
        <w:t>.</w:t>
      </w:r>
    </w:p>
    <w:p w:rsidR="008B394C" w:rsidRPr="008B394C" w:rsidRDefault="008B394C" w:rsidP="008B394C">
      <w:pPr>
        <w:pStyle w:val="Akapitzlist"/>
        <w:spacing w:line="360" w:lineRule="auto"/>
        <w:jc w:val="both"/>
        <w:rPr>
          <w:rFonts w:ascii="Century Gothic" w:hAnsi="Century Gothic"/>
          <w:sz w:val="20"/>
          <w:szCs w:val="20"/>
          <w:shd w:val="clear" w:color="auto" w:fill="FFFFFF"/>
        </w:rPr>
      </w:pPr>
      <w:r w:rsidRPr="008B394C">
        <w:rPr>
          <w:rFonts w:ascii="Century Gothic" w:hAnsi="Century Gothic"/>
          <w:sz w:val="20"/>
          <w:szCs w:val="20"/>
        </w:rPr>
        <w:t xml:space="preserve">- Parapety </w:t>
      </w:r>
      <w:r w:rsidRPr="008B394C">
        <w:rPr>
          <w:rFonts w:ascii="Century Gothic" w:hAnsi="Century Gothic"/>
          <w:sz w:val="20"/>
          <w:szCs w:val="20"/>
          <w:shd w:val="clear" w:color="auto" w:fill="FFFFFF"/>
        </w:rPr>
        <w:t>zewnętrzne szer. 35 cm z blachy ocynkowanej powlekanej lakierem poliestrowym w kolorze brązowym</w:t>
      </w:r>
      <w:r w:rsidRPr="008B394C">
        <w:rPr>
          <w:rFonts w:ascii="Century Gothic" w:hAnsi="Century Gothic"/>
          <w:sz w:val="20"/>
          <w:szCs w:val="20"/>
          <w:shd w:val="clear" w:color="auto" w:fill="FFFFFF"/>
        </w:rPr>
        <w:t>.</w:t>
      </w:r>
    </w:p>
    <w:p w:rsidR="008B394C" w:rsidRDefault="008B394C" w:rsidP="008B394C">
      <w:pPr>
        <w:pStyle w:val="Akapitzlist"/>
        <w:spacing w:line="360" w:lineRule="auto"/>
        <w:rPr>
          <w:rFonts w:ascii="Century Gothic" w:hAnsi="Century Gothic"/>
          <w:sz w:val="20"/>
          <w:szCs w:val="20"/>
          <w:shd w:val="clear" w:color="auto" w:fill="FFFFFF"/>
        </w:rPr>
      </w:pPr>
    </w:p>
    <w:p w:rsidR="008B394C" w:rsidRDefault="008B394C" w:rsidP="008B394C">
      <w:pPr>
        <w:pStyle w:val="Akapitzlist"/>
        <w:spacing w:line="360" w:lineRule="auto"/>
        <w:rPr>
          <w:rFonts w:ascii="Century Gothic" w:hAnsi="Century Gothic"/>
          <w:sz w:val="20"/>
          <w:szCs w:val="20"/>
          <w:shd w:val="clear" w:color="auto" w:fill="FFFFFF"/>
        </w:rPr>
      </w:pPr>
    </w:p>
    <w:p w:rsidR="008B394C" w:rsidRPr="008B394C" w:rsidRDefault="008B394C" w:rsidP="008B394C">
      <w:pPr>
        <w:pStyle w:val="Akapitzlist"/>
        <w:spacing w:line="360" w:lineRule="auto"/>
        <w:rPr>
          <w:rFonts w:ascii="Century Gothic" w:hAnsi="Century Gothic"/>
          <w:sz w:val="20"/>
          <w:szCs w:val="20"/>
          <w:shd w:val="clear" w:color="auto" w:fill="FFFFFF"/>
        </w:rPr>
      </w:pPr>
      <w:bookmarkStart w:id="0" w:name="_GoBack"/>
      <w:bookmarkEnd w:id="0"/>
    </w:p>
    <w:p w:rsidR="008B394C" w:rsidRPr="005C0B13" w:rsidRDefault="008B394C" w:rsidP="008B394C">
      <w:pPr>
        <w:pStyle w:val="Default"/>
        <w:ind w:left="1134" w:hanging="1260"/>
        <w:jc w:val="both"/>
        <w:rPr>
          <w:b/>
          <w:bCs/>
          <w:color w:val="auto"/>
          <w:sz w:val="20"/>
          <w:szCs w:val="20"/>
        </w:rPr>
      </w:pPr>
      <w:r w:rsidRPr="005C0B13">
        <w:rPr>
          <w:b/>
          <w:bCs/>
          <w:color w:val="auto"/>
          <w:sz w:val="20"/>
          <w:szCs w:val="20"/>
        </w:rPr>
        <w:t xml:space="preserve">Uwaga !    </w:t>
      </w:r>
      <w:r w:rsidRPr="005C0B13">
        <w:rPr>
          <w:b/>
          <w:bCs/>
          <w:sz w:val="20"/>
          <w:szCs w:val="20"/>
        </w:rPr>
        <w:t xml:space="preserve">Przed przystąpieniem do wykonania  należy dokonać  dokładnych pomiarów w/w stolarki z natury. Podane wymiary w załącznikach nie są obmiarami wykonawczymi. </w:t>
      </w:r>
      <w:r w:rsidRPr="005C0B13">
        <w:rPr>
          <w:b/>
          <w:bCs/>
          <w:color w:val="auto"/>
          <w:sz w:val="20"/>
          <w:szCs w:val="20"/>
        </w:rPr>
        <w:t xml:space="preserve">Przed instalacją w/w elementów stolarki należy wykonać również wszelkie prace zabezpieczające wynikające z przepisów bhp i </w:t>
      </w:r>
      <w:proofErr w:type="spellStart"/>
      <w:r w:rsidRPr="005C0B13">
        <w:rPr>
          <w:b/>
          <w:bCs/>
          <w:color w:val="auto"/>
          <w:sz w:val="20"/>
          <w:szCs w:val="20"/>
        </w:rPr>
        <w:t>ppoż</w:t>
      </w:r>
      <w:proofErr w:type="spellEnd"/>
      <w:r w:rsidRPr="005C0B13">
        <w:rPr>
          <w:b/>
          <w:bCs/>
          <w:color w:val="auto"/>
          <w:sz w:val="20"/>
          <w:szCs w:val="20"/>
        </w:rPr>
        <w:t xml:space="preserve">, jak również chroniące przed zniszczeniem otoczenia budynku i pomieszczeń. </w:t>
      </w:r>
    </w:p>
    <w:p w:rsidR="008B394C" w:rsidRPr="008B394C" w:rsidRDefault="008B394C" w:rsidP="008B394C">
      <w:pPr>
        <w:pStyle w:val="Akapitzlist"/>
        <w:ind w:left="0"/>
        <w:rPr>
          <w:sz w:val="20"/>
          <w:szCs w:val="20"/>
        </w:rPr>
      </w:pPr>
    </w:p>
    <w:p w:rsidR="008B394C" w:rsidRDefault="008B394C" w:rsidP="008B394C">
      <w:pPr>
        <w:pStyle w:val="Akapitzlist"/>
      </w:pPr>
    </w:p>
    <w:sectPr w:rsidR="008B39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1305DF"/>
    <w:multiLevelType w:val="hybridMultilevel"/>
    <w:tmpl w:val="5AEA51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F9377E"/>
    <w:multiLevelType w:val="hybridMultilevel"/>
    <w:tmpl w:val="0A8E4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E87902"/>
    <w:multiLevelType w:val="hybridMultilevel"/>
    <w:tmpl w:val="1958C9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E36254C"/>
    <w:multiLevelType w:val="hybridMultilevel"/>
    <w:tmpl w:val="1494C7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059"/>
    <w:rsid w:val="000A4371"/>
    <w:rsid w:val="004774CC"/>
    <w:rsid w:val="0058268D"/>
    <w:rsid w:val="0065332C"/>
    <w:rsid w:val="008B394C"/>
    <w:rsid w:val="008E11AF"/>
    <w:rsid w:val="00911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1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11059"/>
    <w:rPr>
      <w:rFonts w:ascii="Arial" w:eastAsia="Calibri" w:hAnsi="Arial" w:cs="Arial"/>
    </w:rPr>
  </w:style>
  <w:style w:type="paragraph" w:styleId="Akapitzlist">
    <w:name w:val="List Paragraph"/>
    <w:basedOn w:val="Normalny"/>
    <w:uiPriority w:val="34"/>
    <w:qFormat/>
    <w:rsid w:val="004774C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774C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74CC"/>
    <w:rPr>
      <w:rFonts w:ascii="Tahoma" w:eastAsia="Times New Roman" w:hAnsi="Tahoma" w:cs="Tahoma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semiHidden/>
    <w:rsid w:val="004774CC"/>
    <w:pPr>
      <w:suppressAutoHyphens/>
      <w:jc w:val="both"/>
    </w:pPr>
    <w:rPr>
      <w:bCs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774CC"/>
    <w:rPr>
      <w:rFonts w:ascii="Times New Roman" w:eastAsia="Times New Roman" w:hAnsi="Times New Roman" w:cs="Times New Roman"/>
      <w:bCs/>
      <w:sz w:val="24"/>
      <w:szCs w:val="24"/>
      <w:lang w:eastAsia="ar-SA"/>
    </w:rPr>
  </w:style>
  <w:style w:type="paragraph" w:customStyle="1" w:styleId="Default">
    <w:name w:val="Default"/>
    <w:rsid w:val="008B394C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11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1">
    <w:name w:val="Znak1"/>
    <w:basedOn w:val="Normalny"/>
    <w:rsid w:val="00911059"/>
    <w:rPr>
      <w:rFonts w:ascii="Arial" w:eastAsia="Calibri" w:hAnsi="Arial" w:cs="Arial"/>
    </w:rPr>
  </w:style>
  <w:style w:type="paragraph" w:styleId="Akapitzlist">
    <w:name w:val="List Paragraph"/>
    <w:basedOn w:val="Normalny"/>
    <w:uiPriority w:val="34"/>
    <w:qFormat/>
    <w:rsid w:val="004774C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774C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74CC"/>
    <w:rPr>
      <w:rFonts w:ascii="Tahoma" w:eastAsia="Times New Roman" w:hAnsi="Tahoma" w:cs="Tahoma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semiHidden/>
    <w:rsid w:val="004774CC"/>
    <w:pPr>
      <w:suppressAutoHyphens/>
      <w:jc w:val="both"/>
    </w:pPr>
    <w:rPr>
      <w:bCs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4774CC"/>
    <w:rPr>
      <w:rFonts w:ascii="Times New Roman" w:eastAsia="Times New Roman" w:hAnsi="Times New Roman" w:cs="Times New Roman"/>
      <w:bCs/>
      <w:sz w:val="24"/>
      <w:szCs w:val="24"/>
      <w:lang w:eastAsia="ar-SA"/>
    </w:rPr>
  </w:style>
  <w:style w:type="paragraph" w:customStyle="1" w:styleId="Default">
    <w:name w:val="Default"/>
    <w:rsid w:val="008B394C"/>
    <w:pPr>
      <w:autoSpaceDE w:val="0"/>
      <w:autoSpaceDN w:val="0"/>
      <w:adjustRightInd w:val="0"/>
      <w:spacing w:after="0" w:line="240" w:lineRule="auto"/>
    </w:pPr>
    <w:rPr>
      <w:rFonts w:ascii="Tahoma" w:eastAsia="Times New Roman" w:hAnsi="Tahoma" w:cs="Tahoma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211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</cp:revision>
  <dcterms:created xsi:type="dcterms:W3CDTF">2014-08-27T11:30:00Z</dcterms:created>
  <dcterms:modified xsi:type="dcterms:W3CDTF">2014-08-27T11:51:00Z</dcterms:modified>
</cp:coreProperties>
</file>