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ACB" w:rsidRPr="009F2ACB" w:rsidRDefault="009F2ACB" w:rsidP="009F2ACB">
      <w:pPr>
        <w:spacing w:after="0" w:line="240" w:lineRule="auto"/>
        <w:rPr>
          <w:rFonts w:ascii="Tahoma" w:eastAsia="Times New Roman" w:hAnsi="Tahoma" w:cs="Tahoma"/>
          <w:lang w:eastAsia="pl-PL"/>
        </w:rPr>
      </w:pPr>
      <w:bookmarkStart w:id="0" w:name="_GoBack"/>
      <w:r w:rsidRPr="009F2ACB">
        <w:rPr>
          <w:rFonts w:ascii="Tahoma" w:eastAsia="Times New Roman" w:hAnsi="Tahoma" w:cs="Tahoma"/>
          <w:lang w:eastAsia="pl-PL"/>
        </w:rPr>
        <w:t>Załącznik nr 2</w:t>
      </w:r>
    </w:p>
    <w:bookmarkEnd w:id="0"/>
    <w:p w:rsidR="009F2ACB" w:rsidRDefault="009F2ACB" w:rsidP="00F64D6E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</w:p>
    <w:p w:rsidR="00F64D6E" w:rsidRPr="00F64D6E" w:rsidRDefault="00F64D6E" w:rsidP="00F64D6E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  <w:r w:rsidRPr="00F64D6E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>Specyfikacja techniczna bioreaktora laboratoryjnego</w:t>
      </w:r>
    </w:p>
    <w:p w:rsidR="00F64D6E" w:rsidRDefault="00F64D6E" w:rsidP="00F64D6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F64D6E" w:rsidRDefault="00F64D6E" w:rsidP="00F64D6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b/>
          <w:sz w:val="24"/>
          <w:szCs w:val="24"/>
          <w:lang w:eastAsia="pl-PL"/>
        </w:rPr>
        <w:t>Główna stacja kontrolna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bioreaktora: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główna stacja kontrolna z ekranem dotykowym umożliwiająca sterowanie pracą do trzech naczyń hodowlanych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kontroler PID proporcjonalno-całkująco-różniczkujący umożliwiający regulację parametrów hodowli: temperatury, </w:t>
      </w: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pH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, stężenia O</w:t>
      </w:r>
      <w:r w:rsidRPr="00016362">
        <w:rPr>
          <w:rFonts w:ascii="Times New Roman" w:eastAsia="Times New Roman" w:hAnsi="Times New Roman"/>
          <w:sz w:val="24"/>
          <w:szCs w:val="24"/>
          <w:vertAlign w:val="subscript"/>
          <w:lang w:eastAsia="pl-PL"/>
        </w:rPr>
        <w:t>2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, prędkości mieszania z możliwością zmian wartości kontrolera PID dla wszystkich parametrów przez użytkownika.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ekran kontrolny podsumowujący wszystkie parametry hodowli w postaci tabeli z możliwością zmiany parametrów w trakcie prowadzenia hodowli.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wbudowane oprogramowanie z możliwością aktualizacji przez port USB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sterowanie temperaturą w zakresie do minimum 70 ˚C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sterowanie mieszaniem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kontrola </w:t>
      </w: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pH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/DO (minimalny zakres </w:t>
      </w: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pH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2-14, minimalny zakres DO 0-200%)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kontrola poziomu piany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3 pompy perystaltyczne (prędkość 12 </w:t>
      </w: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obr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./min.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) z kalibracją dostępną z panelu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dotykowego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kontrola przepływu gazów za pomocą rotametru (zakres prędkości 0,1-11,4 SLPM)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manualne mieszanie gazów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możliwość kaskadowej kontroli stężenia O</w:t>
      </w:r>
      <w:r w:rsidRPr="00016362">
        <w:rPr>
          <w:rFonts w:ascii="Times New Roman" w:eastAsia="Times New Roman" w:hAnsi="Times New Roman"/>
          <w:sz w:val="24"/>
          <w:szCs w:val="24"/>
          <w:vertAlign w:val="subscript"/>
          <w:lang w:eastAsia="pl-PL"/>
        </w:rPr>
        <w:t>2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przez st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e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rowanie prędkością mieszania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wymiary jednostki sterującej nie większe niż wys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/szer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/gł. 68/40/42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zasilanie 200/240 V, 50-60 </w:t>
      </w: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Hz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, </w:t>
      </w:r>
      <w:smartTag w:uri="urn:schemas-microsoft-com:office:smarttags" w:element="metricconverter">
        <w:smartTagPr>
          <w:attr w:name="ProductID" w:val="6 A"/>
        </w:smartTagP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6 A</w:t>
        </w:r>
      </w:smartTag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podłączenie wody max. 10 PSIG, filtr 50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µ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m</w:t>
      </w:r>
    </w:p>
    <w:p w:rsidR="00F64D6E" w:rsidRDefault="00F64D6E" w:rsidP="00F64D6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podłą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czenie gazu max. 10 PSIG</w:t>
      </w:r>
    </w:p>
    <w:p w:rsidR="00F64D6E" w:rsidRDefault="00F64D6E" w:rsidP="00F64D6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F64D6E" w:rsidRPr="00016362" w:rsidRDefault="00F64D6E" w:rsidP="00F64D6E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b/>
          <w:sz w:val="24"/>
          <w:szCs w:val="24"/>
          <w:lang w:eastAsia="pl-PL"/>
        </w:rPr>
        <w:t>Wyposażenie dodatkowe bioreaktora:</w:t>
      </w:r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autoklawowalny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zbiornik o pojemności całkowitej minimum </w:t>
      </w:r>
      <w:smartTag w:uri="urn:schemas-microsoft-com:office:smarttags" w:element="metricconverter">
        <w:smartTagPr>
          <w:attr w:name="ProductID" w:val="7,5 L"/>
        </w:smartTagP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7,5</w:t>
        </w:r>
        <w:r>
          <w:rPr>
            <w:rFonts w:ascii="Times New Roman" w:eastAsia="Times New Roman" w:hAnsi="Times New Roman"/>
            <w:sz w:val="24"/>
            <w:szCs w:val="24"/>
            <w:lang w:eastAsia="pl-PL"/>
          </w:rPr>
          <w:t xml:space="preserve"> </w:t>
        </w: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L</w:t>
        </w:r>
      </w:smartTag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ze szkła </w:t>
      </w: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borokrzemowego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z elektrycznym płaszczem grzejnym i zaokrąglonym dnem</w:t>
      </w:r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pojemność robocza w zakresie minimum 2,0 – </w:t>
      </w:r>
      <w:smartTag w:uri="urn:schemas-microsoft-com:office:smarttags" w:element="metricconverter">
        <w:smartTagPr>
          <w:attr w:name="ProductID" w:val="5,6 L"/>
        </w:smartTagP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5,6 L</w:t>
        </w:r>
      </w:smartTag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pokrywa zbiorn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ika ze stali nierdzewnej z mini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mum 16 gwintowanymi portami w tym (min.7 portów </w:t>
      </w:r>
      <w:smartTag w:uri="urn:schemas-microsoft-com:office:smarttags" w:element="metricconverter">
        <w:smartTagPr>
          <w:attr w:name="ProductID" w:val="6 mm"/>
        </w:smartTagP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6</w:t>
        </w:r>
        <w:r>
          <w:rPr>
            <w:rFonts w:ascii="Times New Roman" w:eastAsia="Times New Roman" w:hAnsi="Times New Roman"/>
            <w:sz w:val="24"/>
            <w:szCs w:val="24"/>
            <w:lang w:eastAsia="pl-PL"/>
          </w:rPr>
          <w:t xml:space="preserve"> </w:t>
        </w: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mm</w:t>
        </w:r>
      </w:smartTag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; 8 portów </w:t>
      </w:r>
      <w:smartTag w:uri="urn:schemas-microsoft-com:office:smarttags" w:element="metricconverter">
        <w:smartTagPr>
          <w:attr w:name="ProductID" w:val="12 mm"/>
        </w:smartTagP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12</w:t>
        </w:r>
        <w:r>
          <w:rPr>
            <w:rFonts w:ascii="Times New Roman" w:eastAsia="Times New Roman" w:hAnsi="Times New Roman"/>
            <w:sz w:val="24"/>
            <w:szCs w:val="24"/>
            <w:lang w:eastAsia="pl-PL"/>
          </w:rPr>
          <w:t xml:space="preserve"> </w:t>
        </w: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mm</w:t>
        </w:r>
      </w:smartTag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oraz 1 port </w:t>
      </w:r>
      <w:smartTag w:uri="urn:schemas-microsoft-com:office:smarttags" w:element="metricconverter">
        <w:smartTagPr>
          <w:attr w:name="ProductID" w:val="19 mm"/>
        </w:smartTagP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19</w:t>
        </w:r>
        <w:r>
          <w:rPr>
            <w:rFonts w:ascii="Times New Roman" w:eastAsia="Times New Roman" w:hAnsi="Times New Roman"/>
            <w:sz w:val="24"/>
            <w:szCs w:val="24"/>
            <w:lang w:eastAsia="pl-PL"/>
          </w:rPr>
          <w:t xml:space="preserve"> </w:t>
        </w: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mm</w:t>
        </w:r>
      </w:smartTag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)</w:t>
      </w:r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wymiary zbiornika nie większe niż: średnica </w:t>
      </w:r>
      <w:smartTag w:uri="urn:schemas-microsoft-com:office:smarttags" w:element="metricconverter">
        <w:smartTagPr>
          <w:attr w:name="ProductID" w:val="29 cm"/>
        </w:smartTagP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29 cm</w:t>
        </w:r>
      </w:smartTag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, wysokość </w:t>
      </w:r>
      <w:smartTag w:uri="urn:schemas-microsoft-com:office:smarttags" w:element="metricconverter">
        <w:smartTagPr>
          <w:attr w:name="ProductID" w:val="49,5 cm"/>
        </w:smartTagPr>
        <w:r w:rsidRPr="00016362">
          <w:rPr>
            <w:rFonts w:ascii="Times New Roman" w:eastAsia="Times New Roman" w:hAnsi="Times New Roman"/>
            <w:sz w:val="24"/>
            <w:szCs w:val="24"/>
            <w:lang w:eastAsia="pl-PL"/>
          </w:rPr>
          <w:t>49,5 cm</w:t>
        </w:r>
      </w:smartTag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napęd bezpośredni 50-1200 </w:t>
      </w: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obr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./min.</w:t>
      </w:r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żelowa sonda </w:t>
      </w: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pH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Metler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Ingold lub równoważn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a z kalibracją dostępną z panelu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dotykowego</w:t>
      </w:r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sonda temperatury RTD umieszczona w odrębnej tulei </w:t>
      </w:r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sonda poziomu piany skoordynowana z pracą pomp</w:t>
      </w:r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wirnik łopatkowy typu </w:t>
      </w:r>
      <w:proofErr w:type="spellStart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Rushton</w:t>
      </w:r>
      <w:proofErr w:type="spellEnd"/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 (dwa rządy łopatek po 6szt.)</w:t>
      </w:r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łamacz wiru</w:t>
      </w:r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bełkotka pierścieniowa, filtr 0,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 xml:space="preserve">2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µ</w:t>
      </w: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m</w:t>
      </w:r>
    </w:p>
    <w:p w:rsidR="00F64D6E" w:rsidRPr="00016362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zestaw do poboru prób</w:t>
      </w:r>
    </w:p>
    <w:p w:rsidR="00F64D6E" w:rsidRDefault="00F64D6E" w:rsidP="00F64D6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16362">
        <w:rPr>
          <w:rFonts w:ascii="Times New Roman" w:eastAsia="Times New Roman" w:hAnsi="Times New Roman"/>
          <w:sz w:val="24"/>
          <w:szCs w:val="24"/>
          <w:lang w:eastAsia="pl-PL"/>
        </w:rPr>
        <w:t>potrójny port dozowania</w:t>
      </w:r>
    </w:p>
    <w:p w:rsidR="00F64D6E" w:rsidRDefault="00F64D6E" w:rsidP="00F64D6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38717C" w:rsidRDefault="0038717C"/>
    <w:sectPr w:rsidR="00387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61D40"/>
    <w:multiLevelType w:val="hybridMultilevel"/>
    <w:tmpl w:val="A9B614B6"/>
    <w:lvl w:ilvl="0" w:tplc="F3F0F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8529C"/>
    <w:multiLevelType w:val="hybridMultilevel"/>
    <w:tmpl w:val="C5AE5BB8"/>
    <w:lvl w:ilvl="0" w:tplc="F3F0F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6E"/>
    <w:rsid w:val="0038717C"/>
    <w:rsid w:val="0069143A"/>
    <w:rsid w:val="009F2ACB"/>
    <w:rsid w:val="00F6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D6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D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D6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D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2014-09-26T11:40:00Z</dcterms:created>
  <dcterms:modified xsi:type="dcterms:W3CDTF">2014-09-26T11:59:00Z</dcterms:modified>
</cp:coreProperties>
</file>