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633CBD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54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="000E3CEA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Dostawę</w:t>
      </w:r>
      <w:r w:rsidRPr="008A1E2A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 xml:space="preserve"> </w:t>
      </w:r>
      <w:r w:rsidR="000E3CEA">
        <w:rPr>
          <w:rFonts w:ascii="Century Gothic" w:hAnsi="Century Gothic"/>
          <w:b/>
          <w:sz w:val="20"/>
          <w:szCs w:val="20"/>
        </w:rPr>
        <w:t>aparatury laboratoryjnej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</w:t>
      </w:r>
      <w:r w:rsidR="00E1794F">
        <w:rPr>
          <w:rFonts w:ascii="Century Gothic" w:hAnsi="Century Gothic"/>
          <w:sz w:val="20"/>
          <w:szCs w:val="20"/>
        </w:rPr>
        <w:t>do dnia 30 listopada 2014 r.</w:t>
      </w:r>
    </w:p>
    <w:p w:rsidR="00CE23B3" w:rsidRPr="00CE23B3" w:rsidRDefault="003B5ED1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3B5ED1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</w:t>
      </w:r>
      <w:r w:rsidR="00633CBD">
        <w:rPr>
          <w:rFonts w:ascii="Century Gothic" w:hAnsi="Century Gothic"/>
          <w:sz w:val="20"/>
          <w:szCs w:val="20"/>
        </w:rPr>
        <w:t>P-ZO-54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B67092" w:rsidRDefault="00B6709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67092" w:rsidRDefault="00B6709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67092" w:rsidRDefault="00B6709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67092" w:rsidRDefault="00B6709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CF1C08" w:rsidRDefault="00CF1C08" w:rsidP="00C002D0">
      <w:pPr>
        <w:rPr>
          <w:rFonts w:ascii="Century Gothic" w:hAnsi="Century Gothic"/>
          <w:sz w:val="20"/>
          <w:szCs w:val="20"/>
        </w:rPr>
      </w:pPr>
    </w:p>
    <w:p w:rsidR="00B67092" w:rsidRDefault="00B67092" w:rsidP="00C002D0">
      <w:pPr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409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3047"/>
        <w:gridCol w:w="2728"/>
        <w:gridCol w:w="567"/>
        <w:gridCol w:w="709"/>
        <w:gridCol w:w="1417"/>
        <w:gridCol w:w="993"/>
        <w:gridCol w:w="1309"/>
      </w:tblGrid>
      <w:tr w:rsidR="000A70BB" w:rsidTr="000A70BB">
        <w:trPr>
          <w:trHeight w:val="27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0A70BB" w:rsidRP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0A70B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0A70BB" w:rsidTr="000A70BB">
        <w:trPr>
          <w:trHeight w:val="85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0BB" w:rsidRDefault="000A70BB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Aparat do transferu Pierce G2 Fast Blotter lub równoważny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0A70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0A70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A70BB" w:rsidTr="000A70BB">
        <w:trPr>
          <w:trHeight w:val="612"/>
          <w:jc w:val="center"/>
        </w:trPr>
        <w:tc>
          <w:tcPr>
            <w:tcW w:w="10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0E3CEA" w:rsidRPr="005C355F" w:rsidRDefault="000E3CEA" w:rsidP="000E3CEA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2</w:t>
      </w:r>
    </w:p>
    <w:tbl>
      <w:tblPr>
        <w:tblW w:w="11268" w:type="dxa"/>
        <w:jc w:val="center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3047"/>
        <w:gridCol w:w="2798"/>
        <w:gridCol w:w="567"/>
        <w:gridCol w:w="709"/>
        <w:gridCol w:w="1417"/>
        <w:gridCol w:w="993"/>
        <w:gridCol w:w="1239"/>
      </w:tblGrid>
      <w:tr w:rsidR="000A70BB" w:rsidTr="000A70BB">
        <w:trPr>
          <w:trHeight w:val="27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B95B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B95B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0A70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0A70BB" w:rsidRDefault="000A70BB" w:rsidP="000A70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0A70B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B95B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B95B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B95B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0BB" w:rsidRDefault="000A70BB" w:rsidP="00B95B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B95B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0A70BB" w:rsidTr="000A70BB">
        <w:trPr>
          <w:trHeight w:val="85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0BB" w:rsidRDefault="000A70BB" w:rsidP="00B95BE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B95BEB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Czytnik ELISA z możliwością odczytu płytek 96-dołkowych wraz z urządzeniem monitorującym typu Notebook o przekątnej 15,6 cala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B95BE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0A70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0BB" w:rsidRDefault="000A70BB" w:rsidP="000A70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B95B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B95B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B95B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A70BB" w:rsidTr="00C32D58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B95BE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0BB" w:rsidRDefault="000A70BB" w:rsidP="00B95B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E3CEA" w:rsidRPr="005C355F" w:rsidRDefault="000E3CEA" w:rsidP="000E3CEA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E3CEA" w:rsidRDefault="000E3CEA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CE7772" w:rsidRPr="00956AAC" w:rsidRDefault="00CE7772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CE7772">
        <w:rPr>
          <w:rFonts w:ascii="Century Gothic" w:hAnsi="Century Gothic"/>
          <w:sz w:val="20"/>
          <w:szCs w:val="20"/>
        </w:rPr>
        <w:t>owość, data</w:t>
      </w:r>
      <w:r w:rsidR="00B67092">
        <w:rPr>
          <w:rFonts w:ascii="Century Gothic" w:hAnsi="Century Gothic"/>
          <w:sz w:val="20"/>
          <w:szCs w:val="20"/>
        </w:rPr>
        <w:t>,</w:t>
      </w:r>
      <w:r w:rsidR="00CE7772">
        <w:rPr>
          <w:rFonts w:ascii="Century Gothic" w:hAnsi="Century Gothic"/>
          <w:sz w:val="20"/>
          <w:szCs w:val="20"/>
        </w:rPr>
        <w:t xml:space="preserve">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CE7772">
        <w:rPr>
          <w:rFonts w:ascii="Century Gothic" w:hAnsi="Century Gothic"/>
          <w:sz w:val="20"/>
          <w:szCs w:val="20"/>
        </w:rPr>
        <w:t>y uprawnionej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</w:t>
      </w:r>
      <w:r w:rsidR="00CE7772">
        <w:rPr>
          <w:rFonts w:ascii="Century Gothic" w:hAnsi="Century Gothic"/>
          <w:sz w:val="20"/>
          <w:szCs w:val="20"/>
        </w:rPr>
        <w:t xml:space="preserve">      </w:t>
      </w:r>
      <w:r w:rsidRPr="00956AAC">
        <w:rPr>
          <w:rFonts w:ascii="Century Gothic" w:hAnsi="Century Gothic"/>
          <w:sz w:val="20"/>
          <w:szCs w:val="20"/>
        </w:rPr>
        <w:t xml:space="preserve">      do podejmowania zobowiązań )</w:t>
      </w: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8DA" w:rsidRDefault="006B68DA" w:rsidP="00633CBD">
      <w:pPr>
        <w:spacing w:after="0" w:line="240" w:lineRule="auto"/>
      </w:pPr>
      <w:r>
        <w:separator/>
      </w:r>
    </w:p>
  </w:endnote>
  <w:endnote w:type="continuationSeparator" w:id="0">
    <w:p w:rsidR="006B68DA" w:rsidRDefault="006B68DA" w:rsidP="00633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6912384"/>
      <w:docPartObj>
        <w:docPartGallery w:val="Page Numbers (Bottom of Page)"/>
        <w:docPartUnique/>
      </w:docPartObj>
    </w:sdtPr>
    <w:sdtContent>
      <w:p w:rsidR="00633CBD" w:rsidRDefault="00633C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68DA">
          <w:rPr>
            <w:noProof/>
          </w:rPr>
          <w:t>1</w:t>
        </w:r>
        <w:r>
          <w:fldChar w:fldCharType="end"/>
        </w:r>
      </w:p>
    </w:sdtContent>
  </w:sdt>
  <w:p w:rsidR="00633CBD" w:rsidRDefault="00633CB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8DA" w:rsidRDefault="006B68DA" w:rsidP="00633CBD">
      <w:pPr>
        <w:spacing w:after="0" w:line="240" w:lineRule="auto"/>
      </w:pPr>
      <w:r>
        <w:separator/>
      </w:r>
    </w:p>
  </w:footnote>
  <w:footnote w:type="continuationSeparator" w:id="0">
    <w:p w:rsidR="006B68DA" w:rsidRDefault="006B68DA" w:rsidP="00633C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0A70BB"/>
    <w:rsid w:val="000E3CEA"/>
    <w:rsid w:val="00104E03"/>
    <w:rsid w:val="00121B2C"/>
    <w:rsid w:val="002559ED"/>
    <w:rsid w:val="0031726A"/>
    <w:rsid w:val="00326DA3"/>
    <w:rsid w:val="003B5ED1"/>
    <w:rsid w:val="003F016E"/>
    <w:rsid w:val="00511973"/>
    <w:rsid w:val="005632BC"/>
    <w:rsid w:val="00574D21"/>
    <w:rsid w:val="005924CA"/>
    <w:rsid w:val="005C355F"/>
    <w:rsid w:val="00633CBD"/>
    <w:rsid w:val="00693EF5"/>
    <w:rsid w:val="006B68DA"/>
    <w:rsid w:val="00777A7F"/>
    <w:rsid w:val="007C7717"/>
    <w:rsid w:val="008A1E2A"/>
    <w:rsid w:val="008B3E80"/>
    <w:rsid w:val="00916334"/>
    <w:rsid w:val="00956AAC"/>
    <w:rsid w:val="009D4123"/>
    <w:rsid w:val="00A261E3"/>
    <w:rsid w:val="00A335ED"/>
    <w:rsid w:val="00AC4A1B"/>
    <w:rsid w:val="00B410F2"/>
    <w:rsid w:val="00B67092"/>
    <w:rsid w:val="00BC4C93"/>
    <w:rsid w:val="00C002D0"/>
    <w:rsid w:val="00C24D21"/>
    <w:rsid w:val="00C81E19"/>
    <w:rsid w:val="00C824BF"/>
    <w:rsid w:val="00C97A88"/>
    <w:rsid w:val="00CB6088"/>
    <w:rsid w:val="00CE23B3"/>
    <w:rsid w:val="00CE7772"/>
    <w:rsid w:val="00CF1C08"/>
    <w:rsid w:val="00DE5943"/>
    <w:rsid w:val="00DF1753"/>
    <w:rsid w:val="00E1794F"/>
    <w:rsid w:val="00E67DD1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3CBD"/>
  </w:style>
  <w:style w:type="paragraph" w:styleId="Stopka">
    <w:name w:val="footer"/>
    <w:basedOn w:val="Normalny"/>
    <w:link w:val="Stopka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3C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3CBD"/>
  </w:style>
  <w:style w:type="paragraph" w:styleId="Stopka">
    <w:name w:val="footer"/>
    <w:basedOn w:val="Normalny"/>
    <w:link w:val="Stopka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3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494</Words>
  <Characters>2965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10</cp:revision>
  <cp:lastPrinted>2014-09-16T07:18:00Z</cp:lastPrinted>
  <dcterms:created xsi:type="dcterms:W3CDTF">2014-10-02T06:30:00Z</dcterms:created>
  <dcterms:modified xsi:type="dcterms:W3CDTF">2014-10-15T11:19:00Z</dcterms:modified>
</cp:coreProperties>
</file>