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838" w:rsidRPr="000423DA" w:rsidRDefault="008206B0">
      <w:r>
        <w:t>Załącznik nr 3</w:t>
      </w:r>
    </w:p>
    <w:p w:rsidR="000423DA" w:rsidRDefault="000423DA"/>
    <w:p w:rsidR="000423DA" w:rsidRDefault="000423DA">
      <w:pPr>
        <w:rPr>
          <w:b/>
          <w:sz w:val="28"/>
          <w:szCs w:val="28"/>
        </w:rPr>
      </w:pPr>
      <w:r w:rsidRPr="000423DA">
        <w:rPr>
          <w:b/>
          <w:sz w:val="28"/>
          <w:szCs w:val="28"/>
        </w:rPr>
        <w:t>Szczegółowe wymogi dostarczonego sprzętu stanowiącego przedmiot zamówienia:</w:t>
      </w:r>
    </w:p>
    <w:p w:rsidR="008E771C" w:rsidRPr="00602E69" w:rsidRDefault="008E771C">
      <w:pPr>
        <w:rPr>
          <w:szCs w:val="28"/>
          <w:u w:val="single"/>
        </w:rPr>
      </w:pPr>
      <w:r w:rsidRPr="00602E69">
        <w:rPr>
          <w:szCs w:val="28"/>
          <w:u w:val="single"/>
        </w:rPr>
        <w:t xml:space="preserve">Fabrycznie nowe </w:t>
      </w:r>
      <w:r w:rsidR="00602E69" w:rsidRPr="00602E69">
        <w:rPr>
          <w:szCs w:val="28"/>
          <w:u w:val="single"/>
        </w:rPr>
        <w:t>u</w:t>
      </w:r>
      <w:r w:rsidRPr="00602E69">
        <w:rPr>
          <w:szCs w:val="28"/>
          <w:u w:val="single"/>
        </w:rPr>
        <w:t>rządzenie do druku czarno-białego:</w:t>
      </w:r>
    </w:p>
    <w:p w:rsidR="000423DA" w:rsidRP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>technologia druku – druk elektrograficzny,</w:t>
      </w:r>
    </w:p>
    <w:p w:rsidR="000423DA" w:rsidRP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>prędkość druku – minimum 105 stron A4/min.</w:t>
      </w:r>
    </w:p>
    <w:p w:rsidR="000423DA" w:rsidRP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 xml:space="preserve">rozdzielczość druku – minimum 1200x1200 </w:t>
      </w:r>
      <w:proofErr w:type="spellStart"/>
      <w:r w:rsidRPr="000423DA">
        <w:rPr>
          <w:sz w:val="24"/>
          <w:szCs w:val="24"/>
        </w:rPr>
        <w:t>dpi</w:t>
      </w:r>
      <w:proofErr w:type="spellEnd"/>
    </w:p>
    <w:p w:rsidR="000423DA" w:rsidRP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>wydajność miesięczna – minimum 1 000 000 arkuszy</w:t>
      </w:r>
    </w:p>
    <w:p w:rsidR="000423DA" w:rsidRP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>obsługiwane formaty papieru – minimum 324x463 mm</w:t>
      </w:r>
    </w:p>
    <w:p w:rsidR="000423DA" w:rsidRP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>obszar zadruku – minimum 314x460 mm</w:t>
      </w:r>
    </w:p>
    <w:p w:rsidR="000423DA" w:rsidRP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>możliwość zadruku na mediach o gramaturze z zakresu 40-350 g/m2</w:t>
      </w:r>
    </w:p>
    <w:p w:rsidR="000423DA" w:rsidRP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>automatyczny druk dwustronny</w:t>
      </w:r>
    </w:p>
    <w:p w:rsidR="000423DA" w:rsidRP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>możliwość kopiowania i skanowania – urządzenie wyposażone w automatyczny dwustronny podajnik oryginałów</w:t>
      </w:r>
    </w:p>
    <w:p w:rsidR="000423DA" w:rsidRP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>minimalna liczba podajników papieru – 5 o łącznej pojemności 8 000 arkuszy (o gramaturze 80 g/m2)</w:t>
      </w:r>
    </w:p>
    <w:p w:rsidR="000423DA" w:rsidRP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>panel urządzenia – w języku polskim</w:t>
      </w:r>
    </w:p>
    <w:p w:rsidR="000423DA" w:rsidRP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>możliwość druku na papierach fakturowych, powlekanych, offsetowych</w:t>
      </w:r>
    </w:p>
    <w:p w:rsidR="000423DA" w:rsidRP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>taca odbiorcza o pojemności minimum 300 kartek A4 z możliwością przesuwania offsetowego</w:t>
      </w:r>
    </w:p>
    <w:p w:rsidR="000423DA" w:rsidRP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>toner: pol</w:t>
      </w:r>
      <w:r w:rsidR="005903AE">
        <w:rPr>
          <w:sz w:val="24"/>
          <w:szCs w:val="24"/>
        </w:rPr>
        <w:t>imeryzowany, możliwość uzupełnia</w:t>
      </w:r>
      <w:r w:rsidRPr="000423DA">
        <w:rPr>
          <w:sz w:val="24"/>
          <w:szCs w:val="24"/>
        </w:rPr>
        <w:t>nia tonera w czasie pracy</w:t>
      </w:r>
    </w:p>
    <w:p w:rsidR="000423DA" w:rsidRDefault="000423DA" w:rsidP="000423DA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0423DA">
        <w:rPr>
          <w:sz w:val="24"/>
          <w:szCs w:val="24"/>
        </w:rPr>
        <w:t xml:space="preserve">kontroler druku </w:t>
      </w:r>
      <w:r w:rsidR="005903AE">
        <w:rPr>
          <w:sz w:val="24"/>
          <w:szCs w:val="24"/>
        </w:rPr>
        <w:t>–</w:t>
      </w:r>
      <w:r w:rsidRPr="000423DA">
        <w:rPr>
          <w:sz w:val="24"/>
          <w:szCs w:val="24"/>
        </w:rPr>
        <w:t xml:space="preserve"> wbudowany</w:t>
      </w:r>
    </w:p>
    <w:p w:rsidR="005903AE" w:rsidRPr="00602E69" w:rsidRDefault="005903AE" w:rsidP="005903AE">
      <w:pPr>
        <w:rPr>
          <w:sz w:val="24"/>
          <w:szCs w:val="24"/>
          <w:u w:val="single"/>
        </w:rPr>
      </w:pPr>
      <w:bookmarkStart w:id="0" w:name="_GoBack"/>
      <w:r w:rsidRPr="00602E69">
        <w:rPr>
          <w:sz w:val="24"/>
          <w:szCs w:val="24"/>
          <w:u w:val="single"/>
        </w:rPr>
        <w:t>Oprogramowanie:</w:t>
      </w:r>
      <w:bookmarkEnd w:id="0"/>
    </w:p>
    <w:p w:rsidR="005903AE" w:rsidRDefault="005903AE" w:rsidP="005903AE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oprogramowanie do automatycznej impozycji do formatu 390x530 mm</w:t>
      </w:r>
    </w:p>
    <w:p w:rsidR="005903AE" w:rsidRDefault="005903AE" w:rsidP="005903AE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obsługa dokumentów: PDF, PJTF, JPEG, TIFF, </w:t>
      </w:r>
      <w:proofErr w:type="spellStart"/>
      <w:r>
        <w:rPr>
          <w:sz w:val="24"/>
          <w:szCs w:val="24"/>
        </w:rPr>
        <w:t>ScitexCT</w:t>
      </w:r>
      <w:proofErr w:type="spellEnd"/>
    </w:p>
    <w:p w:rsidR="005903AE" w:rsidRDefault="005903AE" w:rsidP="005903AE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zapis danych wyjściowych w postaci: PDF, PJTF i JDF</w:t>
      </w:r>
    </w:p>
    <w:p w:rsidR="005903AE" w:rsidRPr="005903AE" w:rsidRDefault="005903AE" w:rsidP="005903AE">
      <w:pPr>
        <w:pStyle w:val="Akapitzlis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oprogramowanie umożliwia: sprawdzanie zawartości przetwarzanej pracy, dokonywanie korekty kolorów w oparciu o profile ICC, ustawianie strefy </w:t>
      </w:r>
      <w:proofErr w:type="spellStart"/>
      <w:r>
        <w:rPr>
          <w:sz w:val="24"/>
          <w:szCs w:val="24"/>
        </w:rPr>
        <w:t>zalewkowania</w:t>
      </w:r>
      <w:proofErr w:type="spellEnd"/>
      <w:r>
        <w:rPr>
          <w:sz w:val="24"/>
          <w:szCs w:val="24"/>
        </w:rPr>
        <w:t xml:space="preserve"> (wektorowe zalewki między obiektami)</w:t>
      </w:r>
    </w:p>
    <w:sectPr w:rsidR="005903AE" w:rsidRPr="005903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74B6" w:rsidRDefault="00CC74B6" w:rsidP="008E771C">
      <w:pPr>
        <w:spacing w:after="0" w:line="240" w:lineRule="auto"/>
      </w:pPr>
      <w:r>
        <w:separator/>
      </w:r>
    </w:p>
  </w:endnote>
  <w:endnote w:type="continuationSeparator" w:id="0">
    <w:p w:rsidR="00CC74B6" w:rsidRDefault="00CC74B6" w:rsidP="008E7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74B6" w:rsidRDefault="00CC74B6" w:rsidP="008E771C">
      <w:pPr>
        <w:spacing w:after="0" w:line="240" w:lineRule="auto"/>
      </w:pPr>
      <w:r>
        <w:separator/>
      </w:r>
    </w:p>
  </w:footnote>
  <w:footnote w:type="continuationSeparator" w:id="0">
    <w:p w:rsidR="00CC74B6" w:rsidRDefault="00CC74B6" w:rsidP="008E77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F623F8"/>
    <w:multiLevelType w:val="hybridMultilevel"/>
    <w:tmpl w:val="5106B9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4A2A3A"/>
    <w:multiLevelType w:val="hybridMultilevel"/>
    <w:tmpl w:val="64BCD6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3DA"/>
    <w:rsid w:val="000423DA"/>
    <w:rsid w:val="00181838"/>
    <w:rsid w:val="005903AE"/>
    <w:rsid w:val="00602E69"/>
    <w:rsid w:val="008206B0"/>
    <w:rsid w:val="008E771C"/>
    <w:rsid w:val="00CC7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23D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E771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E771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E771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423D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E771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E771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E771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dcterms:created xsi:type="dcterms:W3CDTF">2014-11-13T11:42:00Z</dcterms:created>
  <dcterms:modified xsi:type="dcterms:W3CDTF">2014-12-02T10:02:00Z</dcterms:modified>
</cp:coreProperties>
</file>