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29FC" w:rsidRDefault="00E529FC" w:rsidP="00E529FC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E529FC" w:rsidRDefault="00E529FC" w:rsidP="00E529FC">
      <w:pPr>
        <w:tabs>
          <w:tab w:val="left" w:pos="360"/>
        </w:tabs>
        <w:rPr>
          <w:rFonts w:ascii="Tahoma" w:hAnsi="Tahoma" w:cs="Tahoma"/>
          <w:b/>
        </w:rPr>
      </w:pPr>
    </w:p>
    <w:p w:rsidR="00E529FC" w:rsidRDefault="0082500B" w:rsidP="00E529FC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60288;mso-wrap-distance-left:9.05pt;mso-wrap-distance-right:9.05pt" filled="t" stroked="t" strokeweight=".5pt">
            <v:fill color2="black"/>
            <v:imagedata r:id="rId4" o:title=""/>
            <w10:wrap type="square" side="right"/>
          </v:shape>
          <o:OLEObject Type="Embed" ProgID="Obraz" ShapeID="_x0000_s1026" DrawAspect="Content" ObjectID="_1484454721" r:id="rId5"/>
        </w:object>
      </w:r>
      <w:r w:rsidR="00E529FC">
        <w:rPr>
          <w:b/>
        </w:rPr>
        <w:t xml:space="preserve">UNIWERSYTET KAZIMIERZA WIELKIEGO </w:t>
      </w:r>
    </w:p>
    <w:p w:rsidR="00E529FC" w:rsidRDefault="00E529FC" w:rsidP="00E529FC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E529FC" w:rsidRDefault="00E529FC" w:rsidP="00E529FC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E529FC" w:rsidRDefault="00E529FC" w:rsidP="00E529FC">
      <w:pPr>
        <w:jc w:val="center"/>
      </w:pPr>
      <w:r>
        <w:t>NIP 5542647568 REGON 340057695</w:t>
      </w:r>
    </w:p>
    <w:p w:rsidR="00E529FC" w:rsidRDefault="00E529FC" w:rsidP="00E529FC">
      <w:pPr>
        <w:jc w:val="center"/>
      </w:pPr>
      <w:r>
        <w:t>www.ukw.edu.pl</w:t>
      </w:r>
    </w:p>
    <w:p w:rsidR="00E529FC" w:rsidRDefault="00E529FC" w:rsidP="00E529FC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E529FC" w:rsidRDefault="00E529FC" w:rsidP="00E529FC">
      <w:pPr>
        <w:rPr>
          <w:rFonts w:ascii="Century Gothic" w:hAnsi="Century Gothic"/>
          <w:sz w:val="20"/>
          <w:szCs w:val="20"/>
        </w:rPr>
      </w:pPr>
    </w:p>
    <w:p w:rsidR="00E529FC" w:rsidRDefault="00E529FC" w:rsidP="00E529FC">
      <w:pPr>
        <w:jc w:val="right"/>
        <w:rPr>
          <w:rFonts w:ascii="Century Gothic" w:hAnsi="Century Gothic"/>
          <w:sz w:val="20"/>
          <w:szCs w:val="20"/>
        </w:rPr>
      </w:pPr>
    </w:p>
    <w:p w:rsidR="00E529FC" w:rsidRPr="005276CD" w:rsidRDefault="00E529FC" w:rsidP="00E529FC">
      <w:pPr>
        <w:jc w:val="right"/>
        <w:rPr>
          <w:rFonts w:ascii="Century Gothic" w:hAnsi="Century Gothic"/>
          <w:sz w:val="19"/>
          <w:szCs w:val="19"/>
        </w:rPr>
      </w:pPr>
      <w:r w:rsidRPr="005276CD">
        <w:rPr>
          <w:rFonts w:ascii="Century Gothic" w:hAnsi="Century Gothic"/>
          <w:sz w:val="19"/>
          <w:szCs w:val="19"/>
        </w:rPr>
        <w:t>Bydgosz</w:t>
      </w:r>
      <w:r>
        <w:rPr>
          <w:rFonts w:ascii="Century Gothic" w:hAnsi="Century Gothic"/>
          <w:sz w:val="19"/>
          <w:szCs w:val="19"/>
        </w:rPr>
        <w:t>cz, dn. 03</w:t>
      </w:r>
      <w:r w:rsidRPr="005276CD">
        <w:rPr>
          <w:rFonts w:ascii="Century Gothic" w:hAnsi="Century Gothic"/>
          <w:sz w:val="19"/>
          <w:szCs w:val="19"/>
        </w:rPr>
        <w:t>. 02. 2015 r.</w:t>
      </w:r>
    </w:p>
    <w:p w:rsidR="00E529FC" w:rsidRPr="005276CD" w:rsidRDefault="00E529FC" w:rsidP="00E529FC">
      <w:pPr>
        <w:jc w:val="right"/>
        <w:rPr>
          <w:rFonts w:ascii="Century Gothic" w:hAnsi="Century Gothic"/>
          <w:sz w:val="19"/>
          <w:szCs w:val="19"/>
        </w:rPr>
      </w:pPr>
    </w:p>
    <w:p w:rsidR="00E529FC" w:rsidRPr="005276CD" w:rsidRDefault="00E529FC" w:rsidP="00E529FC">
      <w:pPr>
        <w:jc w:val="right"/>
        <w:rPr>
          <w:rFonts w:ascii="Century Gothic" w:hAnsi="Century Gothic"/>
          <w:sz w:val="19"/>
          <w:szCs w:val="19"/>
        </w:rPr>
      </w:pPr>
    </w:p>
    <w:p w:rsidR="00E529FC" w:rsidRPr="005276CD" w:rsidRDefault="00E529FC" w:rsidP="00E529FC">
      <w:pPr>
        <w:jc w:val="right"/>
        <w:rPr>
          <w:rFonts w:ascii="Century Gothic" w:hAnsi="Century Gothic"/>
          <w:sz w:val="19"/>
          <w:szCs w:val="19"/>
        </w:rPr>
      </w:pPr>
    </w:p>
    <w:p w:rsidR="00E529FC" w:rsidRPr="005276CD" w:rsidRDefault="00E529FC" w:rsidP="00E529FC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>UNIEWAŻNIENIE OGŁOSZENIA</w:t>
      </w:r>
      <w:r w:rsidRPr="005276CD">
        <w:rPr>
          <w:rFonts w:ascii="Century Gothic" w:hAnsi="Century Gothic"/>
          <w:b/>
          <w:sz w:val="19"/>
          <w:szCs w:val="19"/>
        </w:rPr>
        <w:t xml:space="preserve"> O WYBORZE OFERTY</w:t>
      </w:r>
    </w:p>
    <w:p w:rsidR="00E529FC" w:rsidRPr="005276CD" w:rsidRDefault="00E529FC" w:rsidP="00E529FC">
      <w:pPr>
        <w:jc w:val="center"/>
        <w:rPr>
          <w:rFonts w:ascii="Century Gothic" w:hAnsi="Century Gothic"/>
          <w:b/>
          <w:sz w:val="19"/>
          <w:szCs w:val="19"/>
        </w:rPr>
      </w:pPr>
      <w:r w:rsidRPr="005276CD">
        <w:rPr>
          <w:rFonts w:ascii="Century Gothic" w:hAnsi="Century Gothic"/>
          <w:b/>
          <w:sz w:val="19"/>
          <w:szCs w:val="19"/>
        </w:rPr>
        <w:t xml:space="preserve"> W TRYBIE</w:t>
      </w:r>
    </w:p>
    <w:p w:rsidR="00E529FC" w:rsidRPr="005276CD" w:rsidRDefault="00E529FC" w:rsidP="00E529FC">
      <w:pPr>
        <w:jc w:val="center"/>
        <w:rPr>
          <w:rFonts w:ascii="Century Gothic" w:hAnsi="Century Gothic"/>
          <w:b/>
          <w:sz w:val="19"/>
          <w:szCs w:val="19"/>
        </w:rPr>
      </w:pPr>
      <w:r w:rsidRPr="005276CD">
        <w:rPr>
          <w:rFonts w:ascii="Century Gothic" w:hAnsi="Century Gothic"/>
          <w:b/>
          <w:sz w:val="19"/>
          <w:szCs w:val="19"/>
        </w:rPr>
        <w:t xml:space="preserve">Zapytania Ofertowego </w:t>
      </w:r>
    </w:p>
    <w:p w:rsidR="00E529FC" w:rsidRPr="005276CD" w:rsidRDefault="00E529FC" w:rsidP="00E529FC">
      <w:pPr>
        <w:jc w:val="center"/>
        <w:rPr>
          <w:rFonts w:ascii="Century Gothic" w:hAnsi="Century Gothic"/>
          <w:b/>
          <w:sz w:val="19"/>
          <w:szCs w:val="19"/>
        </w:rPr>
      </w:pPr>
    </w:p>
    <w:p w:rsidR="00E529FC" w:rsidRPr="005276CD" w:rsidRDefault="00E529FC" w:rsidP="00E529FC">
      <w:pPr>
        <w:jc w:val="both"/>
        <w:rPr>
          <w:rFonts w:ascii="Century Gothic" w:hAnsi="Century Gothic"/>
          <w:b/>
          <w:sz w:val="19"/>
          <w:szCs w:val="19"/>
        </w:rPr>
      </w:pPr>
    </w:p>
    <w:p w:rsidR="00E529FC" w:rsidRPr="008A6015" w:rsidRDefault="00E529FC" w:rsidP="008A6015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276CD">
        <w:rPr>
          <w:rFonts w:ascii="Century Gothic" w:hAnsi="Century Gothic"/>
          <w:sz w:val="19"/>
          <w:szCs w:val="19"/>
        </w:rPr>
        <w:tab/>
      </w:r>
      <w:r w:rsidRPr="008A6015">
        <w:rPr>
          <w:rFonts w:ascii="Century Gothic" w:hAnsi="Century Gothic"/>
          <w:sz w:val="20"/>
          <w:szCs w:val="20"/>
        </w:rPr>
        <w:t>Uniwersytet Kazimierza Wielkiego w Bydgoszczy z siedzibą przy ul. Chodkiewicza 30, 85-064 Bydgoszcz informuje, iż unieważ</w:t>
      </w:r>
      <w:r w:rsidR="00421CE5">
        <w:rPr>
          <w:rFonts w:ascii="Century Gothic" w:hAnsi="Century Gothic"/>
          <w:sz w:val="20"/>
          <w:szCs w:val="20"/>
        </w:rPr>
        <w:t>nia</w:t>
      </w:r>
      <w:r w:rsidRPr="008A6015">
        <w:rPr>
          <w:rFonts w:ascii="Century Gothic" w:hAnsi="Century Gothic"/>
          <w:sz w:val="20"/>
          <w:szCs w:val="20"/>
        </w:rPr>
        <w:t xml:space="preserve"> wynik </w:t>
      </w:r>
      <w:r w:rsidRPr="008A6015">
        <w:rPr>
          <w:rFonts w:ascii="Century Gothic" w:hAnsi="Century Gothic"/>
          <w:b/>
          <w:sz w:val="20"/>
          <w:szCs w:val="20"/>
        </w:rPr>
        <w:t>Zapytania Ofertowego</w:t>
      </w:r>
      <w:r w:rsidRPr="008A6015">
        <w:rPr>
          <w:rFonts w:ascii="Century Gothic" w:hAnsi="Century Gothic"/>
          <w:sz w:val="20"/>
          <w:szCs w:val="20"/>
        </w:rPr>
        <w:t xml:space="preserve"> </w:t>
      </w:r>
      <w:r w:rsidRPr="008A6015">
        <w:rPr>
          <w:rFonts w:ascii="Century Gothic" w:hAnsi="Century Gothic"/>
          <w:b/>
          <w:sz w:val="20"/>
          <w:szCs w:val="20"/>
        </w:rPr>
        <w:t>Nr BZP-ZO-9/2015</w:t>
      </w:r>
      <w:r w:rsidRPr="008A6015">
        <w:rPr>
          <w:rFonts w:ascii="Century Gothic" w:hAnsi="Century Gothic"/>
          <w:sz w:val="20"/>
          <w:szCs w:val="20"/>
        </w:rPr>
        <w:t xml:space="preserve"> dotyczącego</w:t>
      </w:r>
      <w:r w:rsidRPr="008A6015">
        <w:rPr>
          <w:rFonts w:ascii="Century Gothic" w:hAnsi="Century Gothic"/>
          <w:i/>
          <w:sz w:val="20"/>
          <w:szCs w:val="20"/>
        </w:rPr>
        <w:t>, „</w:t>
      </w:r>
      <w:r w:rsidRPr="008A6015">
        <w:rPr>
          <w:rFonts w:ascii="Century Gothic" w:hAnsi="Century Gothic" w:cs="Arial"/>
          <w:color w:val="222222"/>
          <w:sz w:val="20"/>
          <w:szCs w:val="20"/>
        </w:rPr>
        <w:t xml:space="preserve">Nadzoru i konserwacji urządzeń dźwigowych w obiektach UKW w 2015 roku” </w:t>
      </w:r>
      <w:r w:rsidRPr="008A6015">
        <w:rPr>
          <w:rFonts w:ascii="Century Gothic" w:hAnsi="Century Gothic"/>
          <w:sz w:val="20"/>
          <w:szCs w:val="20"/>
        </w:rPr>
        <w:t>dokonanego w dniu 02.02.2015r.</w:t>
      </w:r>
    </w:p>
    <w:p w:rsidR="00E529FC" w:rsidRPr="008A6015" w:rsidRDefault="00E529FC" w:rsidP="00E529FC">
      <w:pPr>
        <w:spacing w:line="360" w:lineRule="auto"/>
        <w:ind w:left="357"/>
        <w:jc w:val="both"/>
        <w:rPr>
          <w:rFonts w:ascii="Century Gothic" w:hAnsi="Century Gothic"/>
          <w:sz w:val="20"/>
          <w:szCs w:val="20"/>
        </w:rPr>
      </w:pPr>
    </w:p>
    <w:p w:rsidR="008A6015" w:rsidRPr="00810F55" w:rsidRDefault="00E529FC" w:rsidP="008A6015">
      <w:pPr>
        <w:pStyle w:val="Akapitzlist"/>
        <w:snapToGrid w:val="0"/>
        <w:spacing w:line="360" w:lineRule="auto"/>
        <w:ind w:left="0"/>
        <w:jc w:val="both"/>
        <w:rPr>
          <w:rFonts w:ascii="Century Gothic" w:hAnsi="Century Gothic"/>
          <w:sz w:val="19"/>
          <w:szCs w:val="19"/>
        </w:rPr>
      </w:pPr>
      <w:r w:rsidRPr="008A6015">
        <w:rPr>
          <w:rFonts w:ascii="Century Gothic" w:hAnsi="Century Gothic"/>
          <w:sz w:val="20"/>
          <w:szCs w:val="20"/>
        </w:rPr>
        <w:t xml:space="preserve">Zamawiający </w:t>
      </w:r>
      <w:r w:rsidR="008A6015" w:rsidRPr="008A6015">
        <w:rPr>
          <w:rFonts w:ascii="Century Gothic" w:hAnsi="Century Gothic"/>
          <w:sz w:val="20"/>
          <w:szCs w:val="20"/>
        </w:rPr>
        <w:t>w dniu 02.02.2015r. dokonał</w:t>
      </w:r>
      <w:r w:rsidRPr="008A6015">
        <w:rPr>
          <w:rFonts w:ascii="Century Gothic" w:hAnsi="Century Gothic"/>
          <w:sz w:val="20"/>
          <w:szCs w:val="20"/>
        </w:rPr>
        <w:t xml:space="preserve"> czynności odrzucenia ofert trzech Wykonawców: </w:t>
      </w:r>
      <w:r w:rsidR="008A6015" w:rsidRPr="00810F55">
        <w:rPr>
          <w:rFonts w:ascii="Century Gothic" w:hAnsi="Century Gothic"/>
          <w:sz w:val="19"/>
          <w:szCs w:val="19"/>
        </w:rPr>
        <w:t>Elwind Sp. z o.o.</w:t>
      </w:r>
      <w:r w:rsidR="008A6015">
        <w:rPr>
          <w:rFonts w:ascii="Century Gothic" w:hAnsi="Century Gothic"/>
          <w:sz w:val="19"/>
          <w:szCs w:val="19"/>
        </w:rPr>
        <w:t xml:space="preserve"> z siedzibą w Bydgoszczy; </w:t>
      </w:r>
      <w:r w:rsidR="008A6015" w:rsidRPr="00810F55">
        <w:rPr>
          <w:rFonts w:ascii="Century Gothic" w:hAnsi="Century Gothic"/>
          <w:sz w:val="19"/>
          <w:szCs w:val="19"/>
        </w:rPr>
        <w:t>Thyssenkrupp Elevator Sp. z o.o. z siedzibą w Warszawie</w:t>
      </w:r>
    </w:p>
    <w:p w:rsidR="00E529FC" w:rsidRPr="008A6015" w:rsidRDefault="008A6015" w:rsidP="008A6015">
      <w:pPr>
        <w:pStyle w:val="Akapitzlist"/>
        <w:snapToGrid w:val="0"/>
        <w:spacing w:line="360" w:lineRule="auto"/>
        <w:ind w:left="0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 xml:space="preserve">Oraz </w:t>
      </w:r>
      <w:r w:rsidRPr="00810F55">
        <w:rPr>
          <w:rFonts w:ascii="Century Gothic" w:hAnsi="Century Gothic"/>
          <w:sz w:val="19"/>
          <w:szCs w:val="19"/>
        </w:rPr>
        <w:t>RW Lift Robert Woźniak</w:t>
      </w:r>
      <w:r>
        <w:rPr>
          <w:rFonts w:ascii="Century Gothic" w:hAnsi="Century Gothic"/>
          <w:sz w:val="19"/>
          <w:szCs w:val="19"/>
        </w:rPr>
        <w:t xml:space="preserve"> z siedzibą w Luboniu </w:t>
      </w:r>
      <w:r w:rsidR="00E529FC" w:rsidRPr="008A6015">
        <w:rPr>
          <w:rFonts w:ascii="Century Gothic" w:hAnsi="Century Gothic"/>
          <w:sz w:val="20"/>
          <w:szCs w:val="20"/>
        </w:rPr>
        <w:t>z uwagi na niezgodność  treści ofert</w:t>
      </w:r>
      <w:r w:rsidR="00301AE7">
        <w:rPr>
          <w:rFonts w:ascii="Century Gothic" w:hAnsi="Century Gothic"/>
          <w:sz w:val="20"/>
          <w:szCs w:val="20"/>
        </w:rPr>
        <w:t xml:space="preserve">y </w:t>
      </w:r>
      <w:r>
        <w:rPr>
          <w:rFonts w:ascii="Century Gothic" w:hAnsi="Century Gothic"/>
          <w:sz w:val="20"/>
          <w:szCs w:val="20"/>
        </w:rPr>
        <w:t xml:space="preserve"> </w:t>
      </w:r>
      <w:r w:rsidR="00E529FC" w:rsidRPr="008A6015">
        <w:rPr>
          <w:rFonts w:ascii="Century Gothic" w:hAnsi="Century Gothic"/>
          <w:sz w:val="20"/>
          <w:szCs w:val="20"/>
        </w:rPr>
        <w:t>z treścią zapytania ofertowego</w:t>
      </w:r>
      <w:r w:rsidR="00421CE5">
        <w:rPr>
          <w:rFonts w:ascii="Century Gothic" w:hAnsi="Century Gothic"/>
          <w:sz w:val="20"/>
          <w:szCs w:val="20"/>
        </w:rPr>
        <w:t xml:space="preserve"> (</w:t>
      </w:r>
      <w:r w:rsidR="0036157D" w:rsidRPr="008A6015">
        <w:rPr>
          <w:rFonts w:ascii="Century Gothic" w:hAnsi="Century Gothic"/>
          <w:sz w:val="20"/>
          <w:szCs w:val="20"/>
        </w:rPr>
        <w:t>zastosowano niewłaściwą stawkę podatku VAT w poz. 4 formularza cenowego</w:t>
      </w:r>
      <w:r w:rsidR="00E529FC" w:rsidRPr="008A6015">
        <w:rPr>
          <w:rFonts w:ascii="Century Gothic" w:hAnsi="Century Gothic"/>
          <w:sz w:val="20"/>
          <w:szCs w:val="20"/>
        </w:rPr>
        <w:t xml:space="preserve">). Zgodnie z </w:t>
      </w:r>
      <w:r w:rsidR="00E529FC" w:rsidRPr="008A6015">
        <w:rPr>
          <w:rStyle w:val="apple-converted-space"/>
          <w:rFonts w:ascii="Century Gothic" w:hAnsi="Century Gothic" w:cs="Tahoma"/>
          <w:color w:val="000000"/>
          <w:sz w:val="20"/>
          <w:szCs w:val="20"/>
          <w:shd w:val="clear" w:color="auto" w:fill="FFFFFF"/>
        </w:rPr>
        <w:t> </w:t>
      </w:r>
      <w:r w:rsidR="00E529FC" w:rsidRPr="008A6015">
        <w:rPr>
          <w:rFonts w:ascii="Century Gothic" w:hAnsi="Century Gothic" w:cs="Tahoma"/>
          <w:color w:val="000000"/>
          <w:sz w:val="20"/>
          <w:szCs w:val="20"/>
          <w:shd w:val="clear" w:color="auto" w:fill="FFFFFF"/>
        </w:rPr>
        <w:t>uchwałą Sądu Najwyższego z dnia 20 października 2011 r. (sygn. akt III CZP 52/11) w sprawie zastosowania błędnej stawki podatku VAT przy obliczeniu ceny ofertowej, Zamaw</w:t>
      </w:r>
      <w:r w:rsidR="0036157D" w:rsidRPr="008A6015">
        <w:rPr>
          <w:rFonts w:ascii="Century Gothic" w:hAnsi="Century Gothic" w:cs="Tahoma"/>
          <w:color w:val="000000"/>
          <w:sz w:val="20"/>
          <w:szCs w:val="20"/>
          <w:shd w:val="clear" w:color="auto" w:fill="FFFFFF"/>
        </w:rPr>
        <w:t>iający określając w zapytaniu ofertowym</w:t>
      </w:r>
      <w:r w:rsidR="00E529FC" w:rsidRPr="008A6015">
        <w:rPr>
          <w:rFonts w:ascii="Century Gothic" w:hAnsi="Century Gothic" w:cs="Tahoma"/>
          <w:color w:val="000000"/>
          <w:sz w:val="20"/>
          <w:szCs w:val="20"/>
          <w:shd w:val="clear" w:color="auto" w:fill="FFFFFF"/>
        </w:rPr>
        <w:t xml:space="preserve"> </w:t>
      </w:r>
      <w:r w:rsidR="0036157D" w:rsidRPr="008A6015">
        <w:rPr>
          <w:rFonts w:ascii="Century Gothic" w:hAnsi="Century Gothic" w:cs="Tahoma"/>
          <w:color w:val="000000"/>
          <w:sz w:val="20"/>
          <w:szCs w:val="20"/>
          <w:shd w:val="clear" w:color="auto" w:fill="FFFFFF"/>
        </w:rPr>
        <w:t xml:space="preserve">konkretną </w:t>
      </w:r>
      <w:r w:rsidR="00E529FC" w:rsidRPr="008A6015">
        <w:rPr>
          <w:rFonts w:ascii="Century Gothic" w:hAnsi="Century Gothic" w:cs="Tahoma"/>
          <w:color w:val="000000"/>
          <w:sz w:val="20"/>
          <w:szCs w:val="20"/>
          <w:shd w:val="clear" w:color="auto" w:fill="FFFFFF"/>
        </w:rPr>
        <w:t xml:space="preserve">stawkę </w:t>
      </w:r>
      <w:r w:rsidR="0036157D" w:rsidRPr="008A6015">
        <w:rPr>
          <w:rFonts w:ascii="Century Gothic" w:hAnsi="Century Gothic" w:cs="Tahoma"/>
          <w:color w:val="000000"/>
          <w:sz w:val="20"/>
          <w:szCs w:val="20"/>
          <w:shd w:val="clear" w:color="auto" w:fill="FFFFFF"/>
        </w:rPr>
        <w:t xml:space="preserve">podatku </w:t>
      </w:r>
      <w:r w:rsidR="00E529FC" w:rsidRPr="008A6015">
        <w:rPr>
          <w:rFonts w:ascii="Century Gothic" w:hAnsi="Century Gothic" w:cs="Tahoma"/>
          <w:color w:val="000000"/>
          <w:sz w:val="20"/>
          <w:szCs w:val="20"/>
          <w:shd w:val="clear" w:color="auto" w:fill="FFFFFF"/>
        </w:rPr>
        <w:t xml:space="preserve">VAT dla przedmiotu zamówienia zobowiązany był </w:t>
      </w:r>
      <w:r w:rsidR="0036157D" w:rsidRPr="008A6015">
        <w:rPr>
          <w:rFonts w:ascii="Century Gothic" w:hAnsi="Century Gothic" w:cs="Tahoma"/>
          <w:color w:val="000000"/>
          <w:sz w:val="20"/>
          <w:szCs w:val="20"/>
          <w:shd w:val="clear" w:color="auto" w:fill="FFFFFF"/>
        </w:rPr>
        <w:t>poprawić ofertę Wykonawcy</w:t>
      </w:r>
      <w:r>
        <w:rPr>
          <w:rFonts w:ascii="Century Gothic" w:hAnsi="Century Gothic" w:cs="Tahoma"/>
          <w:color w:val="000000"/>
          <w:sz w:val="20"/>
          <w:szCs w:val="20"/>
          <w:shd w:val="clear" w:color="auto" w:fill="FFFFFF"/>
        </w:rPr>
        <w:t xml:space="preserve"> </w:t>
      </w:r>
      <w:r w:rsidR="00301AE7">
        <w:rPr>
          <w:rFonts w:ascii="Century Gothic" w:hAnsi="Century Gothic" w:cs="Tahoma"/>
          <w:color w:val="000000"/>
          <w:sz w:val="20"/>
          <w:szCs w:val="20"/>
          <w:shd w:val="clear" w:color="auto" w:fill="FFFFFF"/>
        </w:rPr>
        <w:t xml:space="preserve">we </w:t>
      </w:r>
      <w:r>
        <w:rPr>
          <w:rFonts w:ascii="Century Gothic" w:hAnsi="Century Gothic"/>
          <w:sz w:val="20"/>
          <w:szCs w:val="20"/>
        </w:rPr>
        <w:t>wskazanym wyżej zakresie</w:t>
      </w:r>
      <w:r w:rsidR="0036157D" w:rsidRPr="008A6015">
        <w:rPr>
          <w:rFonts w:ascii="Century Gothic" w:hAnsi="Century Gothic" w:cs="Tahoma"/>
          <w:color w:val="000000"/>
          <w:sz w:val="20"/>
          <w:szCs w:val="20"/>
          <w:shd w:val="clear" w:color="auto" w:fill="FFFFFF"/>
        </w:rPr>
        <w:t xml:space="preserve">, gdyż wystąpiła </w:t>
      </w:r>
      <w:r w:rsidR="0036157D" w:rsidRPr="008A6015">
        <w:rPr>
          <w:rFonts w:ascii="Century Gothic" w:hAnsi="Century Gothic" w:cs="Arial"/>
          <w:color w:val="1E1E1E"/>
          <w:sz w:val="20"/>
          <w:szCs w:val="20"/>
          <w:shd w:val="clear" w:color="auto" w:fill="FFFFFF"/>
        </w:rPr>
        <w:t>inna omyłka polegająca na niezgodności treści oferty z treścią zapytania ofertowego, niepowodującą istotnych zmian w treści oferty.</w:t>
      </w:r>
    </w:p>
    <w:p w:rsidR="008A6015" w:rsidRDefault="0036157D" w:rsidP="008A6015">
      <w:pPr>
        <w:rPr>
          <w:rFonts w:ascii="Century Gothic" w:hAnsi="Century Gothic"/>
          <w:sz w:val="20"/>
          <w:szCs w:val="20"/>
        </w:rPr>
      </w:pPr>
      <w:r w:rsidRPr="008A6015">
        <w:rPr>
          <w:rFonts w:ascii="Century Gothic" w:hAnsi="Century Gothic"/>
          <w:sz w:val="20"/>
          <w:szCs w:val="20"/>
        </w:rPr>
        <w:t xml:space="preserve">   </w:t>
      </w:r>
    </w:p>
    <w:p w:rsidR="00BF35BE" w:rsidRDefault="0036157D" w:rsidP="008A6015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8A6015">
        <w:rPr>
          <w:rFonts w:ascii="Century Gothic" w:hAnsi="Century Gothic"/>
          <w:sz w:val="20"/>
          <w:szCs w:val="20"/>
        </w:rPr>
        <w:t xml:space="preserve">W związku z powyższym Zamawiający </w:t>
      </w:r>
      <w:r w:rsidR="008A6015">
        <w:rPr>
          <w:rFonts w:ascii="Century Gothic" w:hAnsi="Century Gothic"/>
          <w:sz w:val="20"/>
          <w:szCs w:val="20"/>
        </w:rPr>
        <w:t xml:space="preserve">unieważnienia </w:t>
      </w:r>
      <w:r w:rsidR="00301AE7">
        <w:rPr>
          <w:rFonts w:ascii="Century Gothic" w:hAnsi="Century Gothic"/>
          <w:sz w:val="20"/>
          <w:szCs w:val="20"/>
        </w:rPr>
        <w:t>wynik zapytania ofertowego</w:t>
      </w:r>
      <w:r w:rsidR="008A6015" w:rsidRPr="008A6015">
        <w:rPr>
          <w:rFonts w:ascii="Century Gothic" w:hAnsi="Century Gothic"/>
          <w:sz w:val="20"/>
          <w:szCs w:val="20"/>
        </w:rPr>
        <w:t>, o którym mowa powyżej oraz dokona ponownego badania i oceny złożonych ofert.</w:t>
      </w:r>
    </w:p>
    <w:p w:rsidR="0082500B" w:rsidRDefault="0082500B" w:rsidP="008A6015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82500B" w:rsidRDefault="0082500B" w:rsidP="008A6015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82500B" w:rsidRDefault="0082500B" w:rsidP="0082500B">
      <w:pPr>
        <w:spacing w:line="360" w:lineRule="auto"/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p.o. Kanclerza</w:t>
      </w:r>
    </w:p>
    <w:p w:rsidR="0082500B" w:rsidRPr="008A6015" w:rsidRDefault="0082500B" w:rsidP="0082500B">
      <w:pPr>
        <w:spacing w:line="360" w:lineRule="auto"/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mgr Renata Malak</w:t>
      </w:r>
      <w:bookmarkStart w:id="0" w:name="_GoBack"/>
      <w:bookmarkEnd w:id="0"/>
    </w:p>
    <w:sectPr w:rsidR="0082500B" w:rsidRPr="008A6015" w:rsidSect="00BF35B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E529FC"/>
    <w:rsid w:val="00301AE7"/>
    <w:rsid w:val="0036157D"/>
    <w:rsid w:val="00421CE5"/>
    <w:rsid w:val="0082500B"/>
    <w:rsid w:val="008A6015"/>
    <w:rsid w:val="00BF35BE"/>
    <w:rsid w:val="00C23148"/>
    <w:rsid w:val="00E529FC"/>
    <w:rsid w:val="00FB5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ABABA63D-64C6-44B6-813C-296CAEAC7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529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pple-converted-space">
    <w:name w:val="apple-converted-space"/>
    <w:basedOn w:val="Domylnaczcionkaakapitu"/>
    <w:rsid w:val="00E529FC"/>
  </w:style>
  <w:style w:type="paragraph" w:styleId="Akapitzlist">
    <w:name w:val="List Paragraph"/>
    <w:basedOn w:val="Normalny"/>
    <w:uiPriority w:val="34"/>
    <w:qFormat/>
    <w:rsid w:val="008A6015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82500B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2500B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238</Words>
  <Characters>1434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</dc:creator>
  <cp:keywords/>
  <dc:description/>
  <cp:lastModifiedBy>oem</cp:lastModifiedBy>
  <cp:revision>4</cp:revision>
  <cp:lastPrinted>2015-02-03T06:45:00Z</cp:lastPrinted>
  <dcterms:created xsi:type="dcterms:W3CDTF">2015-02-02T18:57:00Z</dcterms:created>
  <dcterms:modified xsi:type="dcterms:W3CDTF">2015-02-03T06:46:00Z</dcterms:modified>
</cp:coreProperties>
</file>