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527AC0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22233278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D372B5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E32347">
        <w:rPr>
          <w:rFonts w:eastAsia="Times New Roman"/>
          <w:b/>
          <w:color w:val="000000"/>
          <w:sz w:val="22"/>
          <w:szCs w:val="22"/>
          <w:lang w:eastAsia="pl-PL"/>
        </w:rPr>
        <w:t>11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E32347">
        <w:rPr>
          <w:rFonts w:eastAsia="Times New Roman"/>
          <w:color w:val="000000"/>
          <w:sz w:val="22"/>
          <w:szCs w:val="22"/>
          <w:lang w:eastAsia="pl-PL"/>
        </w:rPr>
        <w:t>18.04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D372B5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B83F39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 w:rsidR="00D372B5" w:rsidRPr="00D372B5">
        <w:rPr>
          <w:rFonts w:eastAsia="Times New Roman"/>
          <w:color w:val="000000"/>
          <w:sz w:val="22"/>
          <w:szCs w:val="22"/>
          <w:lang w:eastAsia="pl-PL"/>
        </w:rPr>
        <w:t>sukcesywne dostawy materiałów ślusarskich na potrzeby eksploatacyjne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5C3D73" w:rsidRDefault="005C3D73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E32347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bookmarkStart w:id="0" w:name="_GoBack"/>
      <w:bookmarkEnd w:id="0"/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 xml:space="preserve">ZAWIADOMIENIE O </w:t>
      </w:r>
      <w:r w:rsidR="000B3ADF">
        <w:rPr>
          <w:rFonts w:eastAsia="Times New Roman"/>
          <w:b/>
          <w:color w:val="000000"/>
          <w:sz w:val="28"/>
          <w:szCs w:val="22"/>
          <w:lang w:eastAsia="pl-PL"/>
        </w:rPr>
        <w:t xml:space="preserve">UNIEWAŻNIENIU POSTĘPOWANIA </w:t>
      </w: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5C3D73" w:rsidRDefault="00153818" w:rsidP="005C3D73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</w:p>
    <w:p w:rsidR="005C3D73" w:rsidRDefault="005C3D73" w:rsidP="005C3D73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</w:p>
    <w:p w:rsidR="002B4B85" w:rsidRPr="005C3D73" w:rsidRDefault="005C3D73" w:rsidP="005C3D73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color w:val="000000"/>
          <w:sz w:val="22"/>
          <w:szCs w:val="22"/>
          <w:lang w:eastAsia="pl-PL"/>
        </w:rPr>
        <w:t>Działając na podstawie art. 93</w:t>
      </w:r>
      <w:r w:rsidR="00153818"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pkt 1</w:t>
      </w:r>
      <w:r w:rsidR="00153818"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ustawy z dnia 29 stycznia 2004 r. Prawo zamówień publicznych </w:t>
      </w:r>
      <w:r w:rsidR="00153818"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="00153818"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unieważnia niniejsze postępowanie </w:t>
      </w:r>
      <w:r w:rsidR="002B4B85" w:rsidRPr="00B87154">
        <w:t xml:space="preserve">z uwagi na fakt, iż </w:t>
      </w:r>
      <w:r w:rsidR="002B4B85">
        <w:t>nie złożono żadnej oferty niepodlegającej odrzuceniu.</w:t>
      </w:r>
    </w:p>
    <w:p w:rsidR="008C551D" w:rsidRDefault="008C551D"/>
    <w:p w:rsidR="00D372B5" w:rsidRDefault="00D372B5" w:rsidP="00153818">
      <w:pPr>
        <w:ind w:right="110"/>
        <w:rPr>
          <w:b/>
          <w:bCs/>
          <w:sz w:val="22"/>
          <w:szCs w:val="22"/>
        </w:rPr>
      </w:pPr>
    </w:p>
    <w:p w:rsidR="00D372B5" w:rsidRDefault="00D372B5" w:rsidP="00153818">
      <w:pPr>
        <w:ind w:right="110"/>
        <w:rPr>
          <w:b/>
          <w:bCs/>
          <w:sz w:val="22"/>
          <w:szCs w:val="22"/>
        </w:rPr>
      </w:pPr>
    </w:p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2B4B85" w:rsidRPr="002B4B85" w:rsidRDefault="00E32347" w:rsidP="000B3ADF">
      <w:pPr>
        <w:tabs>
          <w:tab w:val="left" w:pos="0"/>
        </w:tabs>
        <w:snapToGrid w:val="0"/>
        <w:jc w:val="both"/>
        <w:rPr>
          <w:bCs/>
          <w:sz w:val="22"/>
          <w:szCs w:val="22"/>
        </w:rPr>
      </w:pPr>
      <w:r>
        <w:rPr>
          <w:rFonts w:eastAsia="Arial Unicode MS" w:cs="Mangal"/>
          <w:b/>
          <w:sz w:val="22"/>
          <w:szCs w:val="22"/>
        </w:rPr>
        <w:t>1</w:t>
      </w:r>
      <w:r w:rsidR="002B4B85" w:rsidRPr="002B4B85">
        <w:rPr>
          <w:rFonts w:eastAsia="Arial Unicode MS" w:cs="Mangal"/>
          <w:sz w:val="22"/>
          <w:szCs w:val="22"/>
        </w:rPr>
        <w:t>.  Działając na podstawie art. 89 ust. 1 pkt 2 ustawy Prawo Zamówień Publicznych Zam</w:t>
      </w:r>
      <w:r w:rsidR="002B4B85">
        <w:rPr>
          <w:rFonts w:eastAsia="Arial Unicode MS" w:cs="Mangal"/>
          <w:sz w:val="22"/>
          <w:szCs w:val="22"/>
        </w:rPr>
        <w:t xml:space="preserve">awiający odrzuca </w:t>
      </w:r>
      <w:r w:rsidR="002B4B85" w:rsidRPr="002B4B85">
        <w:rPr>
          <w:rFonts w:eastAsia="Arial Unicode MS" w:cs="Mangal"/>
          <w:sz w:val="22"/>
          <w:szCs w:val="22"/>
        </w:rPr>
        <w:t xml:space="preserve">ofertę złożoną przez </w:t>
      </w:r>
      <w:proofErr w:type="spellStart"/>
      <w:r w:rsidR="002B4B85" w:rsidRPr="000B3ADF">
        <w:rPr>
          <w:rFonts w:eastAsia="Arial Unicode MS" w:cs="Mangal"/>
          <w:b/>
          <w:sz w:val="22"/>
          <w:szCs w:val="22"/>
        </w:rPr>
        <w:t>Metalzbyt</w:t>
      </w:r>
      <w:proofErr w:type="spellEnd"/>
      <w:r w:rsidR="002B4B85" w:rsidRPr="000B3ADF">
        <w:rPr>
          <w:rFonts w:eastAsia="Arial Unicode MS" w:cs="Mangal"/>
          <w:b/>
          <w:sz w:val="22"/>
          <w:szCs w:val="22"/>
        </w:rPr>
        <w:t xml:space="preserve"> – Hurt Sp. z o.o., </w:t>
      </w:r>
      <w:r w:rsidR="002B4B85" w:rsidRPr="002B4B85">
        <w:rPr>
          <w:rFonts w:eastAsia="Arial Unicode MS" w:cs="Mangal"/>
          <w:sz w:val="22"/>
          <w:szCs w:val="22"/>
        </w:rPr>
        <w:t xml:space="preserve">z siedzibą w Bielsko - Białej przy ul. Bardowskiego 2  z uwagi na niezgodność treści oferty  z treścią SIWZ. </w:t>
      </w:r>
      <w:r w:rsidR="002B4B85">
        <w:rPr>
          <w:rFonts w:eastAsia="Arial Unicode MS" w:cs="Mangal"/>
          <w:sz w:val="22"/>
          <w:szCs w:val="22"/>
        </w:rPr>
        <w:t xml:space="preserve">W przypadku zaoferowania produktu równoważnego </w:t>
      </w:r>
      <w:r w:rsidR="002B4B85" w:rsidRPr="002B4B85">
        <w:rPr>
          <w:rFonts w:eastAsia="Arial Unicode MS" w:cs="Mangal"/>
          <w:sz w:val="22"/>
          <w:szCs w:val="22"/>
        </w:rPr>
        <w:t xml:space="preserve">Zamawiający wymagał załączenia do oferty </w:t>
      </w:r>
      <w:r w:rsidR="000B3ADF">
        <w:rPr>
          <w:rFonts w:eastAsia="Arial Unicode MS" w:cs="Mangal"/>
          <w:sz w:val="22"/>
          <w:szCs w:val="22"/>
        </w:rPr>
        <w:t>kart charakteryst</w:t>
      </w:r>
      <w:r>
        <w:rPr>
          <w:rFonts w:eastAsia="Arial Unicode MS" w:cs="Mangal"/>
          <w:sz w:val="22"/>
          <w:szCs w:val="22"/>
        </w:rPr>
        <w:t xml:space="preserve">yki, specyfikacji technicznych </w:t>
      </w:r>
      <w:r w:rsidR="000B3ADF">
        <w:rPr>
          <w:rFonts w:eastAsia="Arial Unicode MS" w:cs="Mangal"/>
          <w:sz w:val="22"/>
          <w:szCs w:val="22"/>
        </w:rPr>
        <w:t>zawierających</w:t>
      </w:r>
      <w:r w:rsidR="000B3ADF" w:rsidRPr="000B3ADF">
        <w:rPr>
          <w:rFonts w:eastAsia="Arial Unicode MS" w:cs="Mangal"/>
          <w:sz w:val="22"/>
          <w:szCs w:val="22"/>
        </w:rPr>
        <w:t xml:space="preserve"> dane techniczne oferowanego przedmiotu zamówienia</w:t>
      </w:r>
      <w:r>
        <w:rPr>
          <w:rFonts w:eastAsia="Arial Unicode MS" w:cs="Mangal"/>
          <w:sz w:val="22"/>
          <w:szCs w:val="22"/>
        </w:rPr>
        <w:t>. Uzupełniona</w:t>
      </w:r>
      <w:r w:rsidR="002B4B85" w:rsidRPr="002B4B85">
        <w:rPr>
          <w:rFonts w:eastAsia="Arial Unicode MS" w:cs="Mangal"/>
          <w:sz w:val="22"/>
          <w:szCs w:val="22"/>
        </w:rPr>
        <w:t xml:space="preserve"> przez Wykonawcę na w</w:t>
      </w:r>
      <w:r w:rsidR="000B3ADF">
        <w:rPr>
          <w:rFonts w:eastAsia="Arial Unicode MS" w:cs="Mangal"/>
          <w:sz w:val="22"/>
          <w:szCs w:val="22"/>
        </w:rPr>
        <w:t xml:space="preserve">ezwanie Zamawiającego </w:t>
      </w:r>
      <w:r w:rsidR="002B4B85" w:rsidRPr="002B4B85">
        <w:rPr>
          <w:rFonts w:eastAsia="Arial Unicode MS" w:cs="Mangal"/>
          <w:sz w:val="22"/>
          <w:szCs w:val="22"/>
        </w:rPr>
        <w:t xml:space="preserve"> </w:t>
      </w:r>
      <w:r>
        <w:rPr>
          <w:rFonts w:eastAsia="Arial Unicode MS" w:cs="Mangal"/>
          <w:sz w:val="22"/>
          <w:szCs w:val="22"/>
        </w:rPr>
        <w:t xml:space="preserve">karta </w:t>
      </w:r>
      <w:r w:rsidR="005C3D73">
        <w:rPr>
          <w:rFonts w:eastAsia="Arial Unicode MS" w:cs="Mangal"/>
          <w:sz w:val="22"/>
          <w:szCs w:val="22"/>
        </w:rPr>
        <w:t>techniczna</w:t>
      </w:r>
      <w:r>
        <w:rPr>
          <w:rFonts w:eastAsia="Arial Unicode MS" w:cs="Mangal"/>
          <w:sz w:val="22"/>
          <w:szCs w:val="22"/>
        </w:rPr>
        <w:t xml:space="preserve"> dla</w:t>
      </w:r>
      <w:r w:rsidR="000B3ADF">
        <w:rPr>
          <w:rFonts w:eastAsia="Arial Unicode MS" w:cs="Mangal"/>
          <w:sz w:val="22"/>
          <w:szCs w:val="22"/>
        </w:rPr>
        <w:t xml:space="preserve"> poz. </w:t>
      </w:r>
      <w:r>
        <w:rPr>
          <w:rFonts w:eastAsia="Arial Unicode MS" w:cs="Mangal"/>
          <w:sz w:val="22"/>
          <w:szCs w:val="22"/>
        </w:rPr>
        <w:t xml:space="preserve">51 pomimo zapewnień Wykonawcy, nie pozwala jednoznacznie stwierdzić czy jest to produkt równoważny. Uzasadnieniem jest fakt, że na karcie </w:t>
      </w:r>
      <w:r w:rsidR="005C3D73">
        <w:rPr>
          <w:rFonts w:eastAsia="Arial Unicode MS" w:cs="Mangal"/>
          <w:sz w:val="22"/>
          <w:szCs w:val="22"/>
        </w:rPr>
        <w:t xml:space="preserve">technicznej w żadnym miejscu nie jest sprecyzowane czy dokument odnosi bezpośrednio do wyrobu wskazanego przez Wykonawcę (m.in. brak </w:t>
      </w:r>
      <w:proofErr w:type="spellStart"/>
      <w:r w:rsidR="005C3D73">
        <w:rPr>
          <w:rFonts w:eastAsia="Arial Unicode MS" w:cs="Mangal"/>
          <w:sz w:val="22"/>
          <w:szCs w:val="22"/>
        </w:rPr>
        <w:t>loga</w:t>
      </w:r>
      <w:proofErr w:type="spellEnd"/>
      <w:r w:rsidR="005C3D73">
        <w:rPr>
          <w:rFonts w:eastAsia="Arial Unicode MS" w:cs="Mangal"/>
          <w:sz w:val="22"/>
          <w:szCs w:val="22"/>
        </w:rPr>
        <w:t xml:space="preserve"> firmy A&amp;B na rysunkach poglądowych, brak nazwy producenta w jakimkolwiek miejscu dokumentu jak również w tytule karty technicznej).</w:t>
      </w:r>
    </w:p>
    <w:p w:rsidR="001E59C8" w:rsidRDefault="001E59C8" w:rsidP="001E59C8">
      <w:pPr>
        <w:tabs>
          <w:tab w:val="left" w:pos="0"/>
        </w:tabs>
        <w:snapToGrid w:val="0"/>
        <w:jc w:val="both"/>
        <w:rPr>
          <w:rFonts w:eastAsia="Arial Unicode MS" w:cs="Mangal"/>
          <w:sz w:val="22"/>
          <w:szCs w:val="22"/>
        </w:rPr>
      </w:pPr>
      <w:r w:rsidRPr="00DE1512">
        <w:rPr>
          <w:sz w:val="22"/>
          <w:szCs w:val="22"/>
        </w:rPr>
        <w:t>Po</w:t>
      </w:r>
      <w:r>
        <w:rPr>
          <w:sz w:val="22"/>
          <w:szCs w:val="22"/>
        </w:rPr>
        <w:t>wyższe pozwala stwierdzić , iż W</w:t>
      </w:r>
      <w:r w:rsidRPr="00DE1512">
        <w:rPr>
          <w:sz w:val="22"/>
          <w:szCs w:val="22"/>
        </w:rPr>
        <w:t>ykonawca złożył ofertę niezgodną z SIWZ</w:t>
      </w:r>
      <w:r>
        <w:rPr>
          <w:sz w:val="22"/>
          <w:szCs w:val="22"/>
        </w:rPr>
        <w:t xml:space="preserve">, co </w:t>
      </w:r>
      <w:r>
        <w:rPr>
          <w:rFonts w:eastAsia="Arial Unicode MS" w:cs="Mangal"/>
          <w:sz w:val="22"/>
          <w:szCs w:val="22"/>
        </w:rPr>
        <w:t>skutkuje</w:t>
      </w:r>
      <w:r w:rsidRPr="000A103D">
        <w:rPr>
          <w:rFonts w:eastAsia="Arial Unicode MS" w:cs="Mangal"/>
          <w:sz w:val="22"/>
          <w:szCs w:val="22"/>
        </w:rPr>
        <w:t xml:space="preserve"> odrzuceniem oferty we wskazanym zakresie.</w:t>
      </w:r>
    </w:p>
    <w:p w:rsidR="003E3AE2" w:rsidRPr="002B4B85" w:rsidRDefault="003E3AE2"/>
    <w:p w:rsidR="001E59C8" w:rsidRDefault="001E59C8" w:rsidP="001E59C8"/>
    <w:p w:rsidR="001E59C8" w:rsidRDefault="001E59C8" w:rsidP="001E59C8"/>
    <w:p w:rsidR="005C3D73" w:rsidRPr="005C3D73" w:rsidRDefault="001E59C8" w:rsidP="001E59C8">
      <w:pPr>
        <w:jc w:val="right"/>
        <w:rPr>
          <w:sz w:val="22"/>
          <w:szCs w:val="22"/>
        </w:rPr>
      </w:pPr>
      <w:r w:rsidRPr="005C3D73">
        <w:rPr>
          <w:sz w:val="22"/>
          <w:szCs w:val="22"/>
        </w:rPr>
        <w:t>p.o. Kanclerza</w:t>
      </w:r>
    </w:p>
    <w:p w:rsidR="001E59C8" w:rsidRPr="005C3D73" w:rsidRDefault="001E59C8" w:rsidP="001E59C8">
      <w:pPr>
        <w:jc w:val="right"/>
        <w:rPr>
          <w:sz w:val="22"/>
          <w:szCs w:val="22"/>
        </w:rPr>
      </w:pPr>
      <w:r w:rsidRPr="005C3D73">
        <w:rPr>
          <w:sz w:val="22"/>
          <w:szCs w:val="22"/>
        </w:rPr>
        <w:t>mgr Renata Malak</w:t>
      </w:r>
    </w:p>
    <w:p w:rsidR="003E3AE2" w:rsidRDefault="003E3AE2"/>
    <w:sectPr w:rsidR="003E3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70A45"/>
    <w:rsid w:val="000B3ADF"/>
    <w:rsid w:val="00112BE1"/>
    <w:rsid w:val="00153818"/>
    <w:rsid w:val="001A3576"/>
    <w:rsid w:val="001E59C8"/>
    <w:rsid w:val="002B4B85"/>
    <w:rsid w:val="003E3AE2"/>
    <w:rsid w:val="00527AC0"/>
    <w:rsid w:val="00555479"/>
    <w:rsid w:val="005C3D73"/>
    <w:rsid w:val="008C551D"/>
    <w:rsid w:val="00965F47"/>
    <w:rsid w:val="00AB6790"/>
    <w:rsid w:val="00CA5E44"/>
    <w:rsid w:val="00D372B5"/>
    <w:rsid w:val="00E03F74"/>
    <w:rsid w:val="00E27664"/>
    <w:rsid w:val="00E32347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2015-02-20T07:19:00Z</cp:lastPrinted>
  <dcterms:created xsi:type="dcterms:W3CDTF">2016-04-15T11:25:00Z</dcterms:created>
  <dcterms:modified xsi:type="dcterms:W3CDTF">2016-04-15T11:48:00Z</dcterms:modified>
</cp:coreProperties>
</file>