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8F4" w:rsidRPr="003C6BB8" w:rsidRDefault="005628F4" w:rsidP="005628F4">
      <w:pPr>
        <w:jc w:val="center"/>
        <w:rPr>
          <w:b/>
          <w:bCs/>
        </w:rPr>
      </w:pPr>
      <w:r w:rsidRPr="003C6BB8">
        <w:rPr>
          <w:b/>
          <w:bCs/>
        </w:rPr>
        <w:t>UNIWERSYTET KAZIMIERZA WIELKIEGO</w:t>
      </w:r>
    </w:p>
    <w:p w:rsidR="005628F4" w:rsidRPr="003C6BB8" w:rsidRDefault="005628F4" w:rsidP="005628F4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3C6BB8">
        <w:rPr>
          <w:b/>
          <w:bCs/>
        </w:rPr>
        <w:t>W BYDGOSZCZY</w:t>
      </w:r>
    </w:p>
    <w:p w:rsidR="005628F4" w:rsidRPr="003C6BB8" w:rsidRDefault="005628F4" w:rsidP="005628F4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3C6BB8">
        <w:rPr>
          <w:sz w:val="18"/>
          <w:szCs w:val="18"/>
        </w:rPr>
        <w:t>ul. Chodkiewicza 30, 85 – 064 Bydgoszcz, tel. 052 341 91 00 fax. 052 360 82 06</w:t>
      </w:r>
    </w:p>
    <w:p w:rsidR="005628F4" w:rsidRPr="003C6BB8" w:rsidRDefault="005628F4" w:rsidP="005628F4">
      <w:pPr>
        <w:jc w:val="center"/>
      </w:pPr>
      <w:r w:rsidRPr="003C6BB8">
        <w:t>NIP 5542647568 REGON 340057695</w:t>
      </w:r>
    </w:p>
    <w:p w:rsidR="005628F4" w:rsidRPr="003C6BB8" w:rsidRDefault="005628F4" w:rsidP="005628F4">
      <w:pPr>
        <w:jc w:val="center"/>
      </w:pPr>
      <w:r w:rsidRPr="003C6BB8">
        <w:t>www.ukw.edu.pl</w:t>
      </w:r>
    </w:p>
    <w:p w:rsidR="005628F4" w:rsidRPr="00893D79" w:rsidRDefault="005628F4" w:rsidP="005628F4">
      <w:pPr>
        <w:tabs>
          <w:tab w:val="left" w:pos="0"/>
        </w:tabs>
        <w:rPr>
          <w:sz w:val="22"/>
          <w:szCs w:val="22"/>
        </w:rPr>
      </w:pPr>
    </w:p>
    <w:p w:rsidR="005628F4" w:rsidRPr="00460A68" w:rsidRDefault="005628F4" w:rsidP="005628F4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93D79">
        <w:rPr>
          <w:rFonts w:ascii="Century Gothic" w:hAnsi="Century Gothic"/>
          <w:b/>
          <w:sz w:val="20"/>
          <w:szCs w:val="20"/>
        </w:rPr>
        <w:t>UKW/DZP-282-ZO-B-</w:t>
      </w:r>
      <w:r>
        <w:rPr>
          <w:rFonts w:ascii="Century Gothic" w:hAnsi="Century Gothic"/>
          <w:b/>
          <w:sz w:val="20"/>
          <w:szCs w:val="20"/>
        </w:rPr>
        <w:t>31</w:t>
      </w:r>
      <w:r w:rsidRPr="00893D79">
        <w:rPr>
          <w:rFonts w:ascii="Century Gothic" w:hAnsi="Century Gothic"/>
          <w:b/>
          <w:sz w:val="20"/>
          <w:szCs w:val="20"/>
        </w:rPr>
        <w:t>/2017</w:t>
      </w:r>
      <w:r w:rsidRPr="00893D79">
        <w:rPr>
          <w:rFonts w:ascii="Century Gothic" w:hAnsi="Century Gothic" w:cs="Century Gothic"/>
          <w:sz w:val="20"/>
          <w:szCs w:val="20"/>
        </w:rPr>
        <w:tab/>
      </w:r>
      <w:r w:rsidRPr="00460A68">
        <w:rPr>
          <w:rFonts w:ascii="Century Gothic" w:hAnsi="Century Gothic" w:cs="Century Gothic"/>
          <w:sz w:val="20"/>
          <w:szCs w:val="20"/>
        </w:rPr>
        <w:t xml:space="preserve">Bydgoszcz, </w:t>
      </w:r>
      <w:r>
        <w:rPr>
          <w:rFonts w:ascii="Century Gothic" w:hAnsi="Century Gothic" w:cs="Century Gothic"/>
          <w:sz w:val="20"/>
          <w:szCs w:val="20"/>
        </w:rPr>
        <w:t>29</w:t>
      </w:r>
      <w:r w:rsidRPr="00460A68">
        <w:rPr>
          <w:rFonts w:ascii="Century Gothic" w:hAnsi="Century Gothic" w:cs="Century Gothic"/>
          <w:sz w:val="20"/>
          <w:szCs w:val="20"/>
        </w:rPr>
        <w:t>.08.2017r.</w:t>
      </w:r>
    </w:p>
    <w:p w:rsidR="005628F4" w:rsidRPr="00460A68" w:rsidRDefault="005628F4" w:rsidP="005628F4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5628F4" w:rsidRPr="00893D79" w:rsidRDefault="005628F4" w:rsidP="005628F4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5628F4" w:rsidRPr="00893D79" w:rsidRDefault="005628F4" w:rsidP="005628F4">
      <w:pPr>
        <w:rPr>
          <w:rFonts w:ascii="Century Gothic" w:hAnsi="Century Gothic" w:cs="Century Gothic"/>
          <w:bCs/>
          <w:sz w:val="20"/>
          <w:szCs w:val="20"/>
        </w:rPr>
      </w:pPr>
    </w:p>
    <w:p w:rsidR="005628F4" w:rsidRPr="00B8491A" w:rsidRDefault="005628F4" w:rsidP="005628F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bCs/>
          <w:sz w:val="20"/>
          <w:szCs w:val="20"/>
        </w:rPr>
      </w:pPr>
      <w:r w:rsidRPr="00893D79">
        <w:rPr>
          <w:rFonts w:ascii="Century Gothic" w:hAnsi="Century Gothic"/>
          <w:b/>
          <w:sz w:val="20"/>
          <w:szCs w:val="20"/>
        </w:rPr>
        <w:t>Dotyczy:</w:t>
      </w:r>
      <w:r w:rsidRPr="00893D79">
        <w:rPr>
          <w:rFonts w:ascii="Century Gothic" w:hAnsi="Century Gothic"/>
          <w:b/>
          <w:sz w:val="20"/>
          <w:szCs w:val="20"/>
        </w:rPr>
        <w:tab/>
      </w:r>
      <w:r w:rsidRPr="00893D79">
        <w:rPr>
          <w:rFonts w:ascii="Century Gothic" w:hAnsi="Century Gothic"/>
          <w:sz w:val="20"/>
          <w:szCs w:val="20"/>
        </w:rPr>
        <w:t xml:space="preserve">postępowania o udzielenie zamówienia publicznego prowadzonego w trybie zapytania ofertowego na </w:t>
      </w:r>
      <w:r>
        <w:rPr>
          <w:rFonts w:ascii="Century Gothic" w:hAnsi="Century Gothic"/>
          <w:sz w:val="20"/>
          <w:szCs w:val="20"/>
          <w:u w:val="single"/>
        </w:rPr>
        <w:t>Dostawę</w:t>
      </w:r>
      <w:r w:rsidRPr="005628F4">
        <w:rPr>
          <w:rFonts w:ascii="Century Gothic" w:hAnsi="Century Gothic"/>
          <w:sz w:val="20"/>
          <w:szCs w:val="20"/>
          <w:u w:val="single"/>
        </w:rPr>
        <w:t xml:space="preserve"> wzorca, komory i zestawu do elektroforezy na potrzeby UKW w Bydgoszczy</w:t>
      </w:r>
    </w:p>
    <w:p w:rsidR="005628F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</w:p>
    <w:p w:rsidR="005628F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</w:p>
    <w:p w:rsidR="005628F4" w:rsidRPr="000C666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INFORMACJA O UDZIELONYM ZAMÓWIENIU W TRYBIE</w:t>
      </w:r>
    </w:p>
    <w:p w:rsidR="005628F4" w:rsidRPr="000C666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Zapytania Ofertowego</w:t>
      </w:r>
    </w:p>
    <w:p w:rsidR="005628F4" w:rsidRPr="00B8491A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B8491A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B8491A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Uniwersytet Kazimierza Wielkiego w Bydgoszczy z siedzibą przy ul. Chodkiewicza 30, 85-064 Bydgoszcz informuje, iż w wyniku przeprowadzonego Zapytania O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>fertowego Nr UKW-DZP-282-ZO-B-31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>/2017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na podstawie art. 30 a, ustawy z dnia 30 kwietnia 2010 r. o zasadach finansowania nauki (Dz.U.2016.2045 t.j. z dnia 2016.12.16) w związku z art. 4d ust. pkt. 1 ustawy z dnia 29 stycznia 2004 r. Prawo zamówień publicznych (Dz.U.2015.2164 t.j. z 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>dnia 2015.12.22), na: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Dostawę </w:t>
      </w:r>
      <w:r w:rsidRPr="005628F4">
        <w:rPr>
          <w:rFonts w:ascii="Century Gothic" w:eastAsia="Times New Roman" w:hAnsi="Century Gothic"/>
          <w:kern w:val="2"/>
          <w:sz w:val="20"/>
          <w:lang w:eastAsia="hi-IN" w:bidi="hi-IN"/>
        </w:rPr>
        <w:t>wzorca, komory i zestawu do elektroforezy na potrzeby UKW w Bydgoszczy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została wybrana następująca oferta:</w:t>
      </w:r>
    </w:p>
    <w:p w:rsidR="005628F4" w:rsidRDefault="005628F4" w:rsidP="005628F4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</w:p>
    <w:p w:rsidR="005628F4" w:rsidRDefault="005628F4" w:rsidP="005628F4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</w:p>
    <w:p w:rsidR="005628F4" w:rsidRPr="00390E21" w:rsidRDefault="005628F4" w:rsidP="005628F4">
      <w:pPr>
        <w:jc w:val="both"/>
        <w:rPr>
          <w:rFonts w:ascii="Century Gothic" w:hAnsi="Century Gothic"/>
          <w:sz w:val="20"/>
          <w:szCs w:val="20"/>
        </w:rPr>
      </w:pPr>
      <w:r w:rsidRPr="00390E21">
        <w:rPr>
          <w:rFonts w:ascii="Century Gothic" w:hAnsi="Century Gothic"/>
          <w:b/>
          <w:sz w:val="20"/>
          <w:szCs w:val="20"/>
        </w:rPr>
        <w:t>1.</w:t>
      </w:r>
      <w:r w:rsidRPr="00390E21">
        <w:rPr>
          <w:rFonts w:ascii="Century Gothic" w:hAnsi="Century Gothic"/>
          <w:b/>
          <w:sz w:val="20"/>
          <w:szCs w:val="20"/>
        </w:rPr>
        <w:tab/>
      </w:r>
      <w:r w:rsidRPr="00390E21">
        <w:rPr>
          <w:rFonts w:ascii="Century Gothic" w:hAnsi="Century Gothic"/>
          <w:sz w:val="20"/>
          <w:szCs w:val="20"/>
        </w:rPr>
        <w:t xml:space="preserve">Nazwa firmy: </w:t>
      </w:r>
      <w:r>
        <w:rPr>
          <w:rFonts w:ascii="Century Gothic" w:hAnsi="Century Gothic"/>
          <w:b/>
          <w:sz w:val="20"/>
          <w:szCs w:val="20"/>
        </w:rPr>
        <w:t>BIO-RAD Polska Sp. z o.o.</w:t>
      </w:r>
    </w:p>
    <w:p w:rsidR="005628F4" w:rsidRPr="00390E21" w:rsidRDefault="005628F4" w:rsidP="005628F4">
      <w:pPr>
        <w:jc w:val="both"/>
        <w:rPr>
          <w:rFonts w:ascii="Century Gothic" w:hAnsi="Century Gothic"/>
          <w:b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2.</w:t>
      </w:r>
      <w:r w:rsidRPr="00390E21">
        <w:rPr>
          <w:rFonts w:ascii="Century Gothic" w:hAnsi="Century Gothic"/>
          <w:sz w:val="20"/>
          <w:szCs w:val="20"/>
        </w:rPr>
        <w:tab/>
        <w:t xml:space="preserve">Adres: </w:t>
      </w:r>
      <w:r w:rsidRPr="00390E21">
        <w:rPr>
          <w:rFonts w:ascii="Century Gothic" w:hAnsi="Century Gothic"/>
          <w:b/>
          <w:sz w:val="20"/>
          <w:szCs w:val="20"/>
        </w:rPr>
        <w:t xml:space="preserve">ul. </w:t>
      </w:r>
      <w:r>
        <w:rPr>
          <w:rFonts w:ascii="Century Gothic" w:hAnsi="Century Gothic"/>
          <w:b/>
          <w:sz w:val="20"/>
          <w:szCs w:val="20"/>
        </w:rPr>
        <w:t>Przyokopowa 33, 01-208 Warszawa</w:t>
      </w:r>
    </w:p>
    <w:p w:rsidR="005628F4" w:rsidRPr="00390E21" w:rsidRDefault="005628F4" w:rsidP="005628F4">
      <w:pPr>
        <w:jc w:val="both"/>
        <w:rPr>
          <w:rFonts w:ascii="Century Gothic" w:hAnsi="Century Gothic"/>
          <w:b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3.</w:t>
      </w:r>
      <w:r w:rsidRPr="00390E21">
        <w:rPr>
          <w:rFonts w:ascii="Century Gothic" w:hAnsi="Century Gothic"/>
          <w:sz w:val="20"/>
          <w:szCs w:val="20"/>
        </w:rPr>
        <w:tab/>
        <w:t xml:space="preserve">Cena oferty: </w:t>
      </w:r>
      <w:r>
        <w:rPr>
          <w:rFonts w:ascii="Century Gothic" w:hAnsi="Century Gothic"/>
          <w:b/>
          <w:sz w:val="20"/>
          <w:szCs w:val="20"/>
        </w:rPr>
        <w:t>8463,96</w:t>
      </w:r>
      <w:r w:rsidRPr="00390E21">
        <w:rPr>
          <w:rFonts w:ascii="Century Gothic" w:hAnsi="Century Gothic"/>
          <w:b/>
          <w:sz w:val="20"/>
          <w:szCs w:val="20"/>
        </w:rPr>
        <w:t xml:space="preserve"> zł brutto – 90 pkt</w:t>
      </w:r>
    </w:p>
    <w:p w:rsidR="005628F4" w:rsidRPr="00390E21" w:rsidRDefault="005628F4" w:rsidP="005628F4">
      <w:pPr>
        <w:jc w:val="both"/>
        <w:rPr>
          <w:rFonts w:ascii="Century Gothic" w:hAnsi="Century Gothic"/>
          <w:b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4.</w:t>
      </w:r>
      <w:r w:rsidRPr="00390E21">
        <w:rPr>
          <w:rFonts w:ascii="Century Gothic" w:hAnsi="Century Gothic"/>
          <w:sz w:val="20"/>
          <w:szCs w:val="20"/>
        </w:rPr>
        <w:tab/>
        <w:t xml:space="preserve">Czas dostawy – </w:t>
      </w:r>
      <w:r>
        <w:rPr>
          <w:rFonts w:ascii="Century Gothic" w:hAnsi="Century Gothic"/>
          <w:b/>
          <w:sz w:val="20"/>
          <w:szCs w:val="20"/>
        </w:rPr>
        <w:t>do 21</w:t>
      </w:r>
      <w:r w:rsidRPr="00390E21">
        <w:rPr>
          <w:rFonts w:ascii="Century Gothic" w:hAnsi="Century Gothic"/>
          <w:b/>
          <w:sz w:val="20"/>
          <w:szCs w:val="20"/>
        </w:rPr>
        <w:t xml:space="preserve"> dni </w:t>
      </w:r>
      <w:r>
        <w:rPr>
          <w:rFonts w:ascii="Century Gothic" w:hAnsi="Century Gothic"/>
          <w:b/>
          <w:sz w:val="20"/>
          <w:szCs w:val="20"/>
        </w:rPr>
        <w:t>kalendarzowych – 10</w:t>
      </w:r>
      <w:r w:rsidRPr="00390E21">
        <w:rPr>
          <w:rFonts w:ascii="Century Gothic" w:hAnsi="Century Gothic"/>
          <w:b/>
          <w:sz w:val="20"/>
          <w:szCs w:val="20"/>
        </w:rPr>
        <w:t xml:space="preserve"> pkt</w:t>
      </w:r>
    </w:p>
    <w:p w:rsidR="005628F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  <w:u w:val="single"/>
        </w:rPr>
      </w:pPr>
    </w:p>
    <w:p w:rsidR="005628F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  <w:u w:val="single"/>
        </w:rPr>
      </w:pPr>
    </w:p>
    <w:p w:rsidR="005628F4" w:rsidRPr="00B8491A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8491A">
        <w:rPr>
          <w:rFonts w:ascii="Century Gothic" w:hAnsi="Century Gothic"/>
          <w:b/>
          <w:sz w:val="20"/>
          <w:u w:val="single"/>
        </w:rPr>
        <w:t>Uzasadnienie wyboru:</w:t>
      </w:r>
      <w:r w:rsidRPr="00B8491A">
        <w:rPr>
          <w:rFonts w:ascii="Century Gothic" w:hAnsi="Century Gothic"/>
          <w:sz w:val="20"/>
        </w:rPr>
        <w:t xml:space="preserve"> </w:t>
      </w:r>
      <w:r w:rsidRPr="00390E21">
        <w:rPr>
          <w:rFonts w:ascii="Century Gothic" w:hAnsi="Century Gothic"/>
          <w:sz w:val="20"/>
        </w:rPr>
        <w:t>Przedmiotową decyzję Zamawiający uzasadnia tym, że oferta niniejszego Wykonawcy jest jedyną i zarazem najkorzystniejszą ofertą złożoną w postępowaniu, spełniająca wymogi Zamawiającego, która  uzyskała najwyższą  liczbę punk</w:t>
      </w:r>
      <w:r>
        <w:rPr>
          <w:rFonts w:ascii="Century Gothic" w:hAnsi="Century Gothic"/>
          <w:sz w:val="20"/>
        </w:rPr>
        <w:t>tów w kryteriach oceny ofert (100</w:t>
      </w:r>
      <w:r w:rsidRPr="00390E21">
        <w:rPr>
          <w:rFonts w:ascii="Century Gothic" w:hAnsi="Century Gothic"/>
          <w:sz w:val="20"/>
        </w:rPr>
        <w:t xml:space="preserve"> pkt).</w:t>
      </w:r>
      <w:r w:rsidRPr="00B8491A">
        <w:rPr>
          <w:rFonts w:ascii="Century Gothic" w:hAnsi="Century Gothic"/>
          <w:sz w:val="20"/>
        </w:rPr>
        <w:t xml:space="preserve"> Cena oferty mieści się w kwocie jaką Zamawiający przeznaczył na realizację zamówienia. </w:t>
      </w:r>
    </w:p>
    <w:p w:rsidR="005628F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5628F4" w:rsidRPr="00666D6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5628F4" w:rsidRPr="00B8491A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344152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BC0A12" w:rsidRDefault="005628F4" w:rsidP="005628F4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r>
        <w:rPr>
          <w:rFonts w:ascii="Century Gothic" w:hAnsi="Century Gothic" w:cs="Century Gothic"/>
          <w:sz w:val="18"/>
          <w:szCs w:val="18"/>
        </w:rPr>
        <w:t xml:space="preserve">Zastępca </w:t>
      </w:r>
      <w:r w:rsidRPr="00BC0A12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Pr="00BC0A12">
        <w:rPr>
          <w:rFonts w:ascii="Century Gothic" w:hAnsi="Century Gothic" w:cs="Century Gothic"/>
          <w:sz w:val="18"/>
          <w:szCs w:val="18"/>
        </w:rPr>
        <w:t xml:space="preserve"> UKW</w:t>
      </w:r>
    </w:p>
    <w:p w:rsidR="005628F4" w:rsidRPr="00BC0A12" w:rsidRDefault="005628F4" w:rsidP="005628F4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5628F4" w:rsidRPr="00BC0A12" w:rsidRDefault="005628F4" w:rsidP="005628F4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BC0A12">
        <w:rPr>
          <w:rFonts w:ascii="Century Gothic" w:hAnsi="Century Gothic" w:cs="Century Gothic"/>
          <w:sz w:val="18"/>
          <w:szCs w:val="18"/>
        </w:rPr>
        <w:t xml:space="preserve">/-/mgr </w:t>
      </w:r>
      <w:r>
        <w:rPr>
          <w:rFonts w:ascii="Century Gothic" w:hAnsi="Century Gothic" w:cs="Century Gothic"/>
          <w:sz w:val="18"/>
          <w:szCs w:val="18"/>
        </w:rPr>
        <w:t>Mariola Majorkowska</w:t>
      </w:r>
    </w:p>
    <w:bookmarkEnd w:id="0"/>
    <w:p w:rsidR="00195370" w:rsidRDefault="00195370"/>
    <w:sectPr w:rsidR="00195370" w:rsidSect="004D5533">
      <w:pgSz w:w="11906" w:h="16838"/>
      <w:pgMar w:top="1135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F4"/>
    <w:rsid w:val="00195370"/>
    <w:rsid w:val="0056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DAF216-46F9-464C-B7A6-EE5888B6E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28F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5628F4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, Znak Znak1, Znak Znak8,Znak Znak1"/>
    <w:basedOn w:val="Domylnaczcionkaakapitu"/>
    <w:link w:val="Tekstpodstawowywcity"/>
    <w:rsid w:val="005628F4"/>
    <w:rPr>
      <w:rFonts w:ascii="Times New Roman" w:eastAsia="Calibri" w:hAnsi="Times New Roman" w:cs="Times New Roman"/>
      <w:sz w:val="28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28F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F4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2017-08-29T06:51:00Z</cp:lastPrinted>
  <dcterms:created xsi:type="dcterms:W3CDTF">2017-08-29T06:46:00Z</dcterms:created>
  <dcterms:modified xsi:type="dcterms:W3CDTF">2017-08-29T06:51:00Z</dcterms:modified>
</cp:coreProperties>
</file>