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6333" w:rsidRPr="00DD6333" w:rsidRDefault="00DD6333" w:rsidP="00DD6333">
      <w:pPr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bookmarkStart w:id="0" w:name="_GoBack"/>
      <w:bookmarkEnd w:id="0"/>
      <w:r w:rsidRPr="006D5F0B">
        <w:rPr>
          <w:rFonts w:ascii="Times New Roman" w:hAnsi="Times New Roman" w:cs="Times New Roman"/>
          <w:bCs/>
          <w:iCs/>
          <w:sz w:val="24"/>
          <w:szCs w:val="24"/>
        </w:rPr>
        <w:t>Termin „</w:t>
      </w:r>
      <w:proofErr w:type="spellStart"/>
      <w:r w:rsidRPr="006D5F0B">
        <w:rPr>
          <w:rFonts w:ascii="Times New Roman" w:hAnsi="Times New Roman" w:cs="Times New Roman"/>
          <w:bCs/>
          <w:iCs/>
          <w:sz w:val="24"/>
          <w:szCs w:val="24"/>
        </w:rPr>
        <w:t>dyspozytyw</w:t>
      </w:r>
      <w:proofErr w:type="spellEnd"/>
      <w:r w:rsidRPr="006D5F0B">
        <w:rPr>
          <w:rFonts w:ascii="Times New Roman" w:hAnsi="Times New Roman" w:cs="Times New Roman"/>
          <w:bCs/>
          <w:iCs/>
          <w:sz w:val="24"/>
          <w:szCs w:val="24"/>
        </w:rPr>
        <w:t>” pojawia się w pierwszym tomie „Historii seksualności”, gdzie Foucault opisuje cztery główne strategie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="00056232">
        <w:rPr>
          <w:rFonts w:ascii="Times New Roman" w:hAnsi="Times New Roman" w:cs="Times New Roman"/>
          <w:bCs/>
          <w:iCs/>
          <w:sz w:val="24"/>
          <w:szCs w:val="24"/>
        </w:rPr>
        <w:t>dyspozytywów</w:t>
      </w:r>
      <w:proofErr w:type="spellEnd"/>
      <w:r w:rsidR="00056232">
        <w:rPr>
          <w:rFonts w:ascii="Times New Roman" w:hAnsi="Times New Roman" w:cs="Times New Roman"/>
          <w:bCs/>
          <w:iCs/>
          <w:sz w:val="24"/>
          <w:szCs w:val="24"/>
        </w:rPr>
        <w:t xml:space="preserve"> seksualności: </w:t>
      </w:r>
      <w:proofErr w:type="spellStart"/>
      <w:r w:rsidR="00056232">
        <w:rPr>
          <w:rFonts w:ascii="Times New Roman" w:hAnsi="Times New Roman" w:cs="Times New Roman"/>
          <w:bCs/>
          <w:iCs/>
          <w:sz w:val="24"/>
          <w:szCs w:val="24"/>
        </w:rPr>
        <w:t>histe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>ryzację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ciała kobiety, pedagogizację seksu dzieci, socjalizację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zachowań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prokreacyjnych i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psychiatryzację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przyjemności perwersyjnych. Z kolei w cyklu wykładów w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Collége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de France w latach 1975-1976 Foucault używa tego pojęcia mówiąc o układach dominacji w ich rozmaitości, wielości i „wzajemnej przekładalności”, które funkcjonują, wzajemnie się wzmacniają lub anulują w ramach wielkich „aparatów władzy”</w:t>
      </w:r>
      <w:r w:rsidRPr="00DD6333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footnoteReference w:id="1"/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.  Następnie w wykładach prowadzonych przez filozofa w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w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latach 1977-1979 pojawiają się najszersze analizy różnych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dyspozytywów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, przede wszystkim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dyspozytywu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bezpieczeństwa</w:t>
      </w:r>
      <w:r w:rsidRPr="00DD6333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footnoteReference w:id="2"/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. Foucault rozróżnia tutaj trzy prototypowe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dyspozytywy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footnoteReference w:id="3"/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– mechanizmy władzy: jurydyczny, dyscyplinarny i bezpieczeństwa. Najpełniejsza definicja pojęcia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dyspozytywu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pojawia się jednak podczas wywiadu, który udzielił filozof dla czasopisma „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Ornicar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>?”</w:t>
      </w:r>
      <w:r w:rsidRPr="00DD6333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footnoteReference w:id="4"/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Akcentuje ona znaczenie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dyspozytywu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jako sieci elementów dyskursywnych i niedyskursywnych, które są spajane</w:t>
      </w:r>
      <w:r w:rsidR="00646CDB">
        <w:rPr>
          <w:rFonts w:ascii="Times New Roman" w:hAnsi="Times New Roman" w:cs="Times New Roman"/>
          <w:bCs/>
          <w:iCs/>
          <w:sz w:val="24"/>
          <w:szCs w:val="24"/>
        </w:rPr>
        <w:t xml:space="preserve"> dzięki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646CDB">
        <w:rPr>
          <w:rFonts w:ascii="Times New Roman" w:hAnsi="Times New Roman" w:cs="Times New Roman"/>
          <w:bCs/>
          <w:iCs/>
          <w:sz w:val="24"/>
          <w:szCs w:val="24"/>
        </w:rPr>
        <w:t xml:space="preserve">pełnionej 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>strategiczn</w:t>
      </w:r>
      <w:r w:rsidR="00646CDB">
        <w:rPr>
          <w:rFonts w:ascii="Times New Roman" w:hAnsi="Times New Roman" w:cs="Times New Roman"/>
          <w:bCs/>
          <w:iCs/>
          <w:sz w:val="24"/>
          <w:szCs w:val="24"/>
        </w:rPr>
        <w:t>ej funkcji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. Owa strategiczna rola wyraża się w reakcji na określony „problem”, </w:t>
      </w:r>
      <w:r w:rsidR="00646CDB">
        <w:rPr>
          <w:rFonts w:ascii="Times New Roman" w:hAnsi="Times New Roman" w:cs="Times New Roman"/>
          <w:bCs/>
          <w:iCs/>
          <w:sz w:val="24"/>
          <w:szCs w:val="24"/>
        </w:rPr>
        <w:t xml:space="preserve">na sytuację społecznego zapotrzebowania 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>poprzez odwołanie do porządków wiedzy</w:t>
      </w:r>
      <w:r w:rsidR="00646CDB">
        <w:rPr>
          <w:rFonts w:ascii="Times New Roman" w:hAnsi="Times New Roman" w:cs="Times New Roman"/>
          <w:bCs/>
          <w:iCs/>
          <w:sz w:val="24"/>
          <w:szCs w:val="24"/>
        </w:rPr>
        <w:t xml:space="preserve"> i 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powiązanych z nimi rozwiązań organizacyjnych i instytucjonalnych. </w:t>
      </w:r>
    </w:p>
    <w:p w:rsidR="006D6575" w:rsidRPr="00DD6333" w:rsidRDefault="00DD6333" w:rsidP="00DD6333">
      <w:pPr>
        <w:jc w:val="both"/>
        <w:rPr>
          <w:rFonts w:ascii="Times New Roman" w:hAnsi="Times New Roman" w:cs="Times New Roman"/>
          <w:sz w:val="24"/>
          <w:szCs w:val="24"/>
        </w:rPr>
      </w:pP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O specyfice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dyspozytywowej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optyki badawczej decyduje fakt, iż zakłada ona kolistą relację pomiędzy dyskursem a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dyspozytywem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– ten drugi działa jedynie w warunkach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dyskursywizacji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problemu, ale jednocześnie on dyskurs generuje i przetwarza. </w:t>
      </w:r>
      <w:r w:rsidR="00822114">
        <w:rPr>
          <w:rFonts w:ascii="Times New Roman" w:hAnsi="Times New Roman" w:cs="Times New Roman"/>
          <w:bCs/>
          <w:iCs/>
          <w:sz w:val="24"/>
          <w:szCs w:val="24"/>
        </w:rPr>
        <w:t>Tak rozumiany d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yskurs jest synonimem wiedzy. Konsekwentnie, </w:t>
      </w:r>
      <w:r w:rsidR="00822114">
        <w:rPr>
          <w:rFonts w:ascii="Times New Roman" w:hAnsi="Times New Roman" w:cs="Times New Roman"/>
          <w:bCs/>
          <w:iCs/>
          <w:sz w:val="24"/>
          <w:szCs w:val="24"/>
        </w:rPr>
        <w:t xml:space="preserve">przyjęcie takiego założenia 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>wiąże się z koncentracją analizy przede wszystkim na formacjach dyskursywnych</w:t>
      </w:r>
      <w:r w:rsidR="008554C3">
        <w:rPr>
          <w:rFonts w:ascii="Times New Roman" w:hAnsi="Times New Roman" w:cs="Times New Roman"/>
          <w:bCs/>
          <w:iCs/>
          <w:sz w:val="24"/>
          <w:szCs w:val="24"/>
        </w:rPr>
        <w:t xml:space="preserve"> (formacjach wiedzy)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, mniej zaś na analizie struktur językowych. </w:t>
      </w:r>
      <w:r w:rsidR="00822114">
        <w:rPr>
          <w:rFonts w:ascii="Times New Roman" w:hAnsi="Times New Roman" w:cs="Times New Roman"/>
          <w:bCs/>
          <w:iCs/>
          <w:sz w:val="24"/>
          <w:szCs w:val="24"/>
        </w:rPr>
        <w:t xml:space="preserve">Dyskurs pełni w </w:t>
      </w:r>
      <w:proofErr w:type="spellStart"/>
      <w:r w:rsidR="00822114">
        <w:rPr>
          <w:rFonts w:ascii="Times New Roman" w:hAnsi="Times New Roman" w:cs="Times New Roman"/>
          <w:bCs/>
          <w:iCs/>
          <w:sz w:val="24"/>
          <w:szCs w:val="24"/>
        </w:rPr>
        <w:t>dyspozytywie</w:t>
      </w:r>
      <w:proofErr w:type="spellEnd"/>
      <w:r w:rsidR="00822114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konstytutywną rolę, zaś jego niedyskursywne elementy widziane są jako </w:t>
      </w:r>
      <w:r w:rsidR="008554C3">
        <w:rPr>
          <w:rFonts w:ascii="Times New Roman" w:hAnsi="Times New Roman" w:cs="Times New Roman"/>
          <w:bCs/>
          <w:iCs/>
          <w:sz w:val="24"/>
          <w:szCs w:val="24"/>
        </w:rPr>
        <w:t xml:space="preserve">jego 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>„infrastruktura”</w:t>
      </w:r>
      <w:r w:rsidRPr="00DD6333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footnoteReference w:id="5"/>
      </w:r>
      <w:r w:rsidR="00822114">
        <w:rPr>
          <w:rFonts w:ascii="Times New Roman" w:hAnsi="Times New Roman" w:cs="Times New Roman"/>
          <w:bCs/>
          <w:iCs/>
          <w:sz w:val="24"/>
          <w:szCs w:val="24"/>
        </w:rPr>
        <w:t>. Przyjmuje ona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różne formy: instytucjonalne, organizacyjne, materialne, </w:t>
      </w:r>
      <w:r w:rsidR="00822114">
        <w:rPr>
          <w:rFonts w:ascii="Times New Roman" w:hAnsi="Times New Roman" w:cs="Times New Roman"/>
          <w:bCs/>
          <w:iCs/>
          <w:sz w:val="24"/>
          <w:szCs w:val="24"/>
        </w:rPr>
        <w:t xml:space="preserve">lecz działanie </w:t>
      </w:r>
      <w:proofErr w:type="spellStart"/>
      <w:r w:rsidR="00822114">
        <w:rPr>
          <w:rFonts w:ascii="Times New Roman" w:hAnsi="Times New Roman" w:cs="Times New Roman"/>
          <w:bCs/>
          <w:iCs/>
          <w:sz w:val="24"/>
          <w:szCs w:val="24"/>
        </w:rPr>
        <w:t>dyspozytywu</w:t>
      </w:r>
      <w:proofErr w:type="spellEnd"/>
      <w:r w:rsidR="00822114">
        <w:rPr>
          <w:rFonts w:ascii="Times New Roman" w:hAnsi="Times New Roman" w:cs="Times New Roman"/>
          <w:bCs/>
          <w:iCs/>
          <w:sz w:val="24"/>
          <w:szCs w:val="24"/>
        </w:rPr>
        <w:t xml:space="preserve"> nie zakłada 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>obecności wszystkich tych form jednocześnie. O</w:t>
      </w:r>
      <w:r w:rsidR="00822114">
        <w:rPr>
          <w:rFonts w:ascii="Times New Roman" w:hAnsi="Times New Roman" w:cs="Times New Roman"/>
          <w:bCs/>
          <w:iCs/>
          <w:sz w:val="24"/>
          <w:szCs w:val="24"/>
        </w:rPr>
        <w:t>znacza to, że o funkcji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dyspozytywu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możemy mówić także w odniesieniu do mechanizmów społecznych</w:t>
      </w:r>
      <w:r w:rsidRPr="00DD6333">
        <w:rPr>
          <w:rFonts w:ascii="Times New Roman" w:hAnsi="Times New Roman" w:cs="Times New Roman"/>
          <w:bCs/>
          <w:iCs/>
          <w:sz w:val="24"/>
          <w:szCs w:val="24"/>
          <w:vertAlign w:val="superscript"/>
        </w:rPr>
        <w:footnoteReference w:id="6"/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, bez uwzględnienia „wpływu” rzeczy rozumianych </w:t>
      </w:r>
      <w:r w:rsidRPr="00DD6333">
        <w:rPr>
          <w:rFonts w:ascii="Times New Roman" w:hAnsi="Times New Roman" w:cs="Times New Roman"/>
          <w:bCs/>
          <w:i/>
          <w:iCs/>
          <w:sz w:val="24"/>
          <w:szCs w:val="24"/>
        </w:rPr>
        <w:t>sensu stricto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, np. telefonów, komputerów czy budynków (por.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Agamben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). Materialnym aspektem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dyspozytywu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jest bowiem to, co „widzialne”, a więc także materialność dyskursu – formy obrazowania, graficznej reprezentacji czy transkrypcji. Badanie </w:t>
      </w:r>
      <w:proofErr w:type="spellStart"/>
      <w:r w:rsidRPr="00DD6333">
        <w:rPr>
          <w:rFonts w:ascii="Times New Roman" w:hAnsi="Times New Roman" w:cs="Times New Roman"/>
          <w:bCs/>
          <w:iCs/>
          <w:sz w:val="24"/>
          <w:szCs w:val="24"/>
        </w:rPr>
        <w:t>dyspozytywu</w:t>
      </w:r>
      <w:proofErr w:type="spellEnd"/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zakłada wówczas analizę, zmaterializowanych w tekstach różnego pochodzenia (np. w prasie, w dokumentach prawnych, w publikacjach naukowy</w:t>
      </w:r>
      <w:r w:rsidR="00646CDB">
        <w:rPr>
          <w:rFonts w:ascii="Times New Roman" w:hAnsi="Times New Roman" w:cs="Times New Roman"/>
          <w:bCs/>
          <w:iCs/>
          <w:sz w:val="24"/>
          <w:szCs w:val="24"/>
        </w:rPr>
        <w:t>ch), procedur, działań i innych</w:t>
      </w:r>
      <w:r w:rsidR="008554C3">
        <w:rPr>
          <w:rFonts w:ascii="Times New Roman" w:hAnsi="Times New Roman" w:cs="Times New Roman"/>
          <w:bCs/>
          <w:iCs/>
          <w:sz w:val="24"/>
          <w:szCs w:val="24"/>
        </w:rPr>
        <w:t>,</w:t>
      </w:r>
      <w:r w:rsidR="00646CDB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8554C3">
        <w:rPr>
          <w:rFonts w:ascii="Times New Roman" w:hAnsi="Times New Roman" w:cs="Times New Roman"/>
          <w:bCs/>
          <w:iCs/>
          <w:sz w:val="24"/>
          <w:szCs w:val="24"/>
        </w:rPr>
        <w:t>zakotwiczonych w instytucjach praktyk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regulujących życie społeczne</w:t>
      </w:r>
      <w:r w:rsidR="00646CDB">
        <w:rPr>
          <w:rFonts w:ascii="Times New Roman" w:hAnsi="Times New Roman" w:cs="Times New Roman"/>
          <w:bCs/>
          <w:iCs/>
          <w:sz w:val="24"/>
          <w:szCs w:val="24"/>
        </w:rPr>
        <w:t>.</w:t>
      </w:r>
      <w:r w:rsidRPr="00DD6333"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</w:p>
    <w:sectPr w:rsidR="006D6575" w:rsidRPr="00DD633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5A35" w:rsidRDefault="007C5A35" w:rsidP="00DD6333">
      <w:pPr>
        <w:spacing w:after="0" w:line="240" w:lineRule="auto"/>
      </w:pPr>
      <w:r>
        <w:separator/>
      </w:r>
    </w:p>
  </w:endnote>
  <w:endnote w:type="continuationSeparator" w:id="0">
    <w:p w:rsidR="007C5A35" w:rsidRDefault="007C5A35" w:rsidP="00DD63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5A35" w:rsidRDefault="007C5A35" w:rsidP="00DD6333">
      <w:pPr>
        <w:spacing w:after="0" w:line="240" w:lineRule="auto"/>
      </w:pPr>
      <w:r>
        <w:separator/>
      </w:r>
    </w:p>
  </w:footnote>
  <w:footnote w:type="continuationSeparator" w:id="0">
    <w:p w:rsidR="007C5A35" w:rsidRDefault="007C5A35" w:rsidP="00DD6333">
      <w:pPr>
        <w:spacing w:after="0" w:line="240" w:lineRule="auto"/>
      </w:pPr>
      <w:r>
        <w:continuationSeparator/>
      </w:r>
    </w:p>
  </w:footnote>
  <w:footnote w:id="1">
    <w:p w:rsidR="00DD6333" w:rsidRPr="00E27FF5" w:rsidRDefault="00DD6333" w:rsidP="00DD6333">
      <w:pPr>
        <w:pStyle w:val="Tekstprzypisudolnego"/>
        <w:jc w:val="both"/>
        <w:rPr>
          <w:rFonts w:ascii="Times New Roman" w:hAnsi="Times New Roman" w:cs="Times New Roman"/>
        </w:rPr>
      </w:pPr>
      <w:r w:rsidRPr="00E27FF5">
        <w:rPr>
          <w:rStyle w:val="Odwoanieprzypisudolnego"/>
          <w:rFonts w:ascii="Times New Roman" w:hAnsi="Times New Roman" w:cs="Times New Roman"/>
        </w:rPr>
        <w:footnoteRef/>
      </w:r>
      <w:r w:rsidRPr="00E27FF5">
        <w:rPr>
          <w:rFonts w:ascii="Times New Roman" w:hAnsi="Times New Roman" w:cs="Times New Roman"/>
        </w:rPr>
        <w:t xml:space="preserve">M. Foucault, </w:t>
      </w:r>
      <w:r w:rsidRPr="00E27FF5">
        <w:rPr>
          <w:rFonts w:ascii="Times New Roman" w:hAnsi="Times New Roman" w:cs="Times New Roman"/>
          <w:i/>
        </w:rPr>
        <w:t>Trzeba bronić…, op. cit.</w:t>
      </w:r>
      <w:r w:rsidRPr="00E27FF5">
        <w:rPr>
          <w:rFonts w:ascii="Times New Roman" w:hAnsi="Times New Roman" w:cs="Times New Roman"/>
        </w:rPr>
        <w:t>, s. 53.</w:t>
      </w:r>
    </w:p>
  </w:footnote>
  <w:footnote w:id="2">
    <w:p w:rsidR="00DD6333" w:rsidRPr="00E27FF5" w:rsidRDefault="00DD6333" w:rsidP="00DD6333">
      <w:pPr>
        <w:pStyle w:val="Tekstprzypisudolnego"/>
        <w:jc w:val="both"/>
        <w:rPr>
          <w:rFonts w:ascii="Times New Roman" w:hAnsi="Times New Roman" w:cs="Times New Roman"/>
        </w:rPr>
      </w:pPr>
      <w:r w:rsidRPr="00E27FF5">
        <w:rPr>
          <w:rStyle w:val="Odwoanieprzypisudolnego"/>
          <w:rFonts w:ascii="Times New Roman" w:hAnsi="Times New Roman" w:cs="Times New Roman"/>
        </w:rPr>
        <w:footnoteRef/>
      </w:r>
      <w:r w:rsidRPr="00E27FF5">
        <w:rPr>
          <w:rFonts w:ascii="Times New Roman" w:hAnsi="Times New Roman" w:cs="Times New Roman"/>
        </w:rPr>
        <w:t xml:space="preserve"> M. Foucault, </w:t>
      </w:r>
      <w:r w:rsidRPr="00E27FF5">
        <w:rPr>
          <w:rFonts w:ascii="Times New Roman" w:hAnsi="Times New Roman" w:cs="Times New Roman"/>
          <w:i/>
        </w:rPr>
        <w:t>Bezpieczeństwo, terytorium, populacja</w:t>
      </w:r>
      <w:r w:rsidRPr="00E27FF5">
        <w:rPr>
          <w:rFonts w:ascii="Times New Roman" w:hAnsi="Times New Roman" w:cs="Times New Roman"/>
        </w:rPr>
        <w:t xml:space="preserve">, tłum. M. </w:t>
      </w:r>
      <w:proofErr w:type="spellStart"/>
      <w:r w:rsidRPr="00E27FF5">
        <w:rPr>
          <w:rFonts w:ascii="Times New Roman" w:hAnsi="Times New Roman" w:cs="Times New Roman"/>
        </w:rPr>
        <w:t>Herer</w:t>
      </w:r>
      <w:proofErr w:type="spellEnd"/>
      <w:r w:rsidRPr="00E27FF5">
        <w:rPr>
          <w:rFonts w:ascii="Times New Roman" w:hAnsi="Times New Roman" w:cs="Times New Roman"/>
        </w:rPr>
        <w:t>, Warszawa 2010.</w:t>
      </w:r>
    </w:p>
  </w:footnote>
  <w:footnote w:id="3">
    <w:p w:rsidR="00DD6333" w:rsidRPr="00E27FF5" w:rsidRDefault="00DD6333" w:rsidP="00DD6333">
      <w:pPr>
        <w:pStyle w:val="Tekstprzypisudolnego"/>
        <w:jc w:val="both"/>
        <w:rPr>
          <w:rFonts w:ascii="Times New Roman" w:hAnsi="Times New Roman" w:cs="Times New Roman"/>
          <w:lang w:val="en-US"/>
        </w:rPr>
      </w:pPr>
      <w:r w:rsidRPr="00E27FF5">
        <w:rPr>
          <w:rStyle w:val="Odwoanieprzypisudolnego"/>
          <w:rFonts w:ascii="Times New Roman" w:hAnsi="Times New Roman" w:cs="Times New Roman"/>
        </w:rPr>
        <w:footnoteRef/>
      </w:r>
      <w:r w:rsidRPr="00E27FF5">
        <w:rPr>
          <w:rFonts w:ascii="Times New Roman" w:hAnsi="Times New Roman" w:cs="Times New Roman"/>
        </w:rPr>
        <w:t xml:space="preserve"> Termin „</w:t>
      </w:r>
      <w:proofErr w:type="spellStart"/>
      <w:r w:rsidRPr="00E27FF5">
        <w:rPr>
          <w:rFonts w:ascii="Times New Roman" w:hAnsi="Times New Roman" w:cs="Times New Roman"/>
        </w:rPr>
        <w:t>dyspozytywy</w:t>
      </w:r>
      <w:proofErr w:type="spellEnd"/>
      <w:r w:rsidRPr="00E27FF5">
        <w:rPr>
          <w:rFonts w:ascii="Times New Roman" w:hAnsi="Times New Roman" w:cs="Times New Roman"/>
        </w:rPr>
        <w:t xml:space="preserve"> prototypowe” nie pochodzi z prac Foucaulta. To określenie zaproponowane przez  </w:t>
      </w:r>
      <w:r w:rsidRPr="00E27FF5">
        <w:rPr>
          <w:rFonts w:ascii="Times New Roman" w:hAnsi="Times New Roman" w:cs="Times New Roman"/>
          <w:iCs/>
        </w:rPr>
        <w:t xml:space="preserve">S. </w:t>
      </w:r>
      <w:proofErr w:type="spellStart"/>
      <w:r w:rsidRPr="00E27FF5">
        <w:rPr>
          <w:rFonts w:ascii="Times New Roman" w:hAnsi="Times New Roman" w:cs="Times New Roman"/>
          <w:iCs/>
        </w:rPr>
        <w:t>Raffnsøe</w:t>
      </w:r>
      <w:proofErr w:type="spellEnd"/>
      <w:r w:rsidRPr="00E27FF5">
        <w:rPr>
          <w:rFonts w:ascii="Times New Roman" w:hAnsi="Times New Roman" w:cs="Times New Roman"/>
          <w:iCs/>
        </w:rPr>
        <w:t xml:space="preserve">, M. </w:t>
      </w:r>
      <w:proofErr w:type="spellStart"/>
      <w:r w:rsidRPr="00E27FF5">
        <w:rPr>
          <w:rFonts w:ascii="Times New Roman" w:hAnsi="Times New Roman" w:cs="Times New Roman"/>
          <w:iCs/>
        </w:rPr>
        <w:t>Gudmand-Høyera</w:t>
      </w:r>
      <w:proofErr w:type="spellEnd"/>
      <w:r w:rsidRPr="00E27FF5">
        <w:rPr>
          <w:rFonts w:ascii="Times New Roman" w:hAnsi="Times New Roman" w:cs="Times New Roman"/>
          <w:iCs/>
        </w:rPr>
        <w:t xml:space="preserve"> i M. S. </w:t>
      </w:r>
      <w:proofErr w:type="spellStart"/>
      <w:r w:rsidRPr="00E27FF5">
        <w:rPr>
          <w:rFonts w:ascii="Times New Roman" w:hAnsi="Times New Roman" w:cs="Times New Roman"/>
          <w:iCs/>
        </w:rPr>
        <w:t>Thaninga</w:t>
      </w:r>
      <w:proofErr w:type="spellEnd"/>
      <w:r w:rsidRPr="00E27FF5">
        <w:rPr>
          <w:rFonts w:ascii="Times New Roman" w:hAnsi="Times New Roman" w:cs="Times New Roman"/>
          <w:iCs/>
        </w:rPr>
        <w:t xml:space="preserve"> (zob. </w:t>
      </w:r>
      <w:r w:rsidRPr="00E27FF5">
        <w:rPr>
          <w:rFonts w:ascii="Times New Roman" w:hAnsi="Times New Roman" w:cs="Times New Roman"/>
          <w:iCs/>
          <w:lang w:val="en-US"/>
        </w:rPr>
        <w:t xml:space="preserve">S. </w:t>
      </w:r>
      <w:proofErr w:type="spellStart"/>
      <w:r w:rsidRPr="00E27FF5">
        <w:rPr>
          <w:rFonts w:ascii="Times New Roman" w:hAnsi="Times New Roman" w:cs="Times New Roman"/>
          <w:iCs/>
          <w:lang w:val="en-US"/>
        </w:rPr>
        <w:t>Raffnsøe</w:t>
      </w:r>
      <w:proofErr w:type="spellEnd"/>
      <w:r w:rsidRPr="00E27FF5">
        <w:rPr>
          <w:rFonts w:ascii="Times New Roman" w:hAnsi="Times New Roman" w:cs="Times New Roman"/>
          <w:iCs/>
          <w:lang w:val="en-US"/>
        </w:rPr>
        <w:t xml:space="preserve">, M. </w:t>
      </w:r>
      <w:proofErr w:type="spellStart"/>
      <w:r w:rsidRPr="00E27FF5">
        <w:rPr>
          <w:rFonts w:ascii="Times New Roman" w:hAnsi="Times New Roman" w:cs="Times New Roman"/>
          <w:iCs/>
          <w:lang w:val="en-US"/>
        </w:rPr>
        <w:t>Gudmand-Høyer</w:t>
      </w:r>
      <w:proofErr w:type="spellEnd"/>
      <w:r w:rsidRPr="00E27FF5">
        <w:rPr>
          <w:rFonts w:ascii="Times New Roman" w:hAnsi="Times New Roman" w:cs="Times New Roman"/>
          <w:iCs/>
          <w:lang w:val="en-US"/>
        </w:rPr>
        <w:t xml:space="preserve">, M. S. </w:t>
      </w:r>
      <w:proofErr w:type="spellStart"/>
      <w:r w:rsidRPr="00E27FF5">
        <w:rPr>
          <w:rFonts w:ascii="Times New Roman" w:hAnsi="Times New Roman" w:cs="Times New Roman"/>
          <w:iCs/>
          <w:lang w:val="en-US"/>
        </w:rPr>
        <w:t>Thaning</w:t>
      </w:r>
      <w:proofErr w:type="spellEnd"/>
      <w:r w:rsidRPr="00E27FF5">
        <w:rPr>
          <w:rFonts w:ascii="Times New Roman" w:hAnsi="Times New Roman" w:cs="Times New Roman"/>
          <w:iCs/>
          <w:lang w:val="en-US"/>
        </w:rPr>
        <w:t xml:space="preserve">, </w:t>
      </w:r>
      <w:r w:rsidRPr="00E27FF5">
        <w:rPr>
          <w:rFonts w:ascii="Times New Roman" w:hAnsi="Times New Roman" w:cs="Times New Roman"/>
          <w:i/>
          <w:iCs/>
          <w:lang w:val="en-US"/>
        </w:rPr>
        <w:t>Foucault’s dispositive…, op. cit.</w:t>
      </w:r>
      <w:r w:rsidRPr="00E27FF5">
        <w:rPr>
          <w:rFonts w:ascii="Times New Roman" w:hAnsi="Times New Roman" w:cs="Times New Roman"/>
          <w:iCs/>
          <w:lang w:val="en-US"/>
        </w:rPr>
        <w:t>).</w:t>
      </w:r>
    </w:p>
  </w:footnote>
  <w:footnote w:id="4">
    <w:p w:rsidR="00DD6333" w:rsidRPr="00E27FF5" w:rsidRDefault="00DD6333" w:rsidP="00DD6333">
      <w:pPr>
        <w:pStyle w:val="Tekstprzypisudolnego"/>
        <w:rPr>
          <w:rFonts w:ascii="Times New Roman" w:hAnsi="Times New Roman" w:cs="Times New Roman"/>
          <w:lang w:val="en-US"/>
        </w:rPr>
      </w:pPr>
      <w:r w:rsidRPr="00E27FF5">
        <w:rPr>
          <w:rStyle w:val="Odwoanieprzypisudolnego"/>
          <w:rFonts w:ascii="Times New Roman" w:hAnsi="Times New Roman" w:cs="Times New Roman"/>
        </w:rPr>
        <w:footnoteRef/>
      </w:r>
      <w:r w:rsidRPr="00E27FF5">
        <w:rPr>
          <w:rFonts w:ascii="Times New Roman" w:hAnsi="Times New Roman" w:cs="Times New Roman"/>
          <w:lang w:val="en-US"/>
        </w:rPr>
        <w:t xml:space="preserve"> M. Foucault, </w:t>
      </w:r>
      <w:r w:rsidRPr="00E27FF5">
        <w:rPr>
          <w:rFonts w:ascii="Times New Roman" w:hAnsi="Times New Roman" w:cs="Times New Roman"/>
          <w:i/>
          <w:iCs/>
          <w:lang w:val="en-US"/>
        </w:rPr>
        <w:t xml:space="preserve">Le </w:t>
      </w:r>
      <w:proofErr w:type="spellStart"/>
      <w:r w:rsidRPr="00E27FF5">
        <w:rPr>
          <w:rFonts w:ascii="Times New Roman" w:hAnsi="Times New Roman" w:cs="Times New Roman"/>
          <w:i/>
          <w:iCs/>
          <w:lang w:val="en-US"/>
        </w:rPr>
        <w:t>jeu</w:t>
      </w:r>
      <w:proofErr w:type="spellEnd"/>
      <w:r w:rsidRPr="00E27FF5">
        <w:rPr>
          <w:rFonts w:ascii="Times New Roman" w:hAnsi="Times New Roman" w:cs="Times New Roman"/>
          <w:i/>
          <w:iCs/>
          <w:lang w:val="en-US"/>
        </w:rPr>
        <w:t xml:space="preserve"> de Michel Foucault</w:t>
      </w:r>
      <w:r w:rsidRPr="00E27FF5">
        <w:rPr>
          <w:rFonts w:ascii="Times New Roman" w:hAnsi="Times New Roman" w:cs="Times New Roman"/>
          <w:lang w:val="en-US"/>
        </w:rPr>
        <w:t>, „</w:t>
      </w:r>
      <w:proofErr w:type="spellStart"/>
      <w:r w:rsidRPr="00E27FF5">
        <w:rPr>
          <w:rFonts w:ascii="Times New Roman" w:hAnsi="Times New Roman" w:cs="Times New Roman"/>
          <w:lang w:val="en-US"/>
        </w:rPr>
        <w:t>Ornicar</w:t>
      </w:r>
      <w:proofErr w:type="spellEnd"/>
      <w:r w:rsidRPr="00E27FF5">
        <w:rPr>
          <w:rFonts w:ascii="Times New Roman" w:hAnsi="Times New Roman" w:cs="Times New Roman"/>
          <w:lang w:val="en-US"/>
        </w:rPr>
        <w:t xml:space="preserve">? Bulletin </w:t>
      </w:r>
      <w:proofErr w:type="spellStart"/>
      <w:r w:rsidRPr="00E27FF5">
        <w:rPr>
          <w:rFonts w:ascii="Times New Roman" w:hAnsi="Times New Roman" w:cs="Times New Roman"/>
          <w:lang w:val="en-US"/>
        </w:rPr>
        <w:t>Périodique</w:t>
      </w:r>
      <w:proofErr w:type="spellEnd"/>
      <w:r w:rsidRPr="00E27FF5">
        <w:rPr>
          <w:rFonts w:ascii="Times New Roman" w:hAnsi="Times New Roman" w:cs="Times New Roman"/>
          <w:lang w:val="en-US"/>
        </w:rPr>
        <w:t xml:space="preserve"> du Champ </w:t>
      </w:r>
      <w:proofErr w:type="spellStart"/>
      <w:r w:rsidRPr="00E27FF5">
        <w:rPr>
          <w:rFonts w:ascii="Times New Roman" w:hAnsi="Times New Roman" w:cs="Times New Roman"/>
          <w:lang w:val="en-US"/>
        </w:rPr>
        <w:t>Freudien</w:t>
      </w:r>
      <w:proofErr w:type="spellEnd"/>
      <w:r w:rsidRPr="00E27FF5">
        <w:rPr>
          <w:rFonts w:ascii="Times New Roman" w:hAnsi="Times New Roman" w:cs="Times New Roman"/>
          <w:lang w:val="en-US"/>
        </w:rPr>
        <w:t xml:space="preserve">” 1994, 10, s. 299 [w:] </w:t>
      </w:r>
      <w:proofErr w:type="spellStart"/>
      <w:r w:rsidRPr="00E27FF5">
        <w:rPr>
          <w:rFonts w:ascii="Times New Roman" w:hAnsi="Times New Roman" w:cs="Times New Roman"/>
          <w:i/>
          <w:iCs/>
          <w:lang w:val="en-US"/>
        </w:rPr>
        <w:t>Dites</w:t>
      </w:r>
      <w:proofErr w:type="spellEnd"/>
      <w:r w:rsidRPr="00E27FF5">
        <w:rPr>
          <w:rFonts w:ascii="Times New Roman" w:hAnsi="Times New Roman" w:cs="Times New Roman"/>
          <w:i/>
          <w:iCs/>
          <w:lang w:val="en-US"/>
        </w:rPr>
        <w:t xml:space="preserve"> et </w:t>
      </w:r>
      <w:proofErr w:type="spellStart"/>
      <w:r w:rsidRPr="00E27FF5">
        <w:rPr>
          <w:rFonts w:ascii="Times New Roman" w:hAnsi="Times New Roman" w:cs="Times New Roman"/>
          <w:i/>
          <w:iCs/>
          <w:lang w:val="en-US"/>
        </w:rPr>
        <w:t>écris</w:t>
      </w:r>
      <w:proofErr w:type="spellEnd"/>
      <w:r w:rsidRPr="00E27FF5">
        <w:rPr>
          <w:rFonts w:ascii="Times New Roman" w:hAnsi="Times New Roman" w:cs="Times New Roman"/>
          <w:lang w:val="en-US"/>
        </w:rPr>
        <w:t xml:space="preserve">, t. 3, </w:t>
      </w:r>
      <w:proofErr w:type="spellStart"/>
      <w:r w:rsidRPr="00E27FF5">
        <w:rPr>
          <w:rFonts w:ascii="Times New Roman" w:hAnsi="Times New Roman" w:cs="Times New Roman"/>
          <w:lang w:val="en-US"/>
        </w:rPr>
        <w:t>Gallimard</w:t>
      </w:r>
      <w:proofErr w:type="spellEnd"/>
      <w:r w:rsidRPr="00E27FF5">
        <w:rPr>
          <w:rFonts w:ascii="Times New Roman" w:hAnsi="Times New Roman" w:cs="Times New Roman"/>
          <w:lang w:val="en-US"/>
        </w:rPr>
        <w:t xml:space="preserve">, Paris 1977  </w:t>
      </w:r>
    </w:p>
  </w:footnote>
  <w:footnote w:id="5">
    <w:p w:rsidR="00DD6333" w:rsidRPr="00E27FF5" w:rsidRDefault="00DD6333" w:rsidP="00DD6333">
      <w:pPr>
        <w:spacing w:after="0"/>
        <w:jc w:val="both"/>
        <w:rPr>
          <w:rFonts w:ascii="Times New Roman" w:eastAsia="Calibri" w:hAnsi="Times New Roman" w:cs="Times New Roman"/>
          <w:bCs/>
          <w:iCs/>
          <w:sz w:val="20"/>
          <w:szCs w:val="20"/>
        </w:rPr>
      </w:pPr>
      <w:r w:rsidRPr="00E27FF5">
        <w:rPr>
          <w:rStyle w:val="Odwoanieprzypisudolnego"/>
          <w:rFonts w:ascii="Times New Roman" w:hAnsi="Times New Roman" w:cs="Times New Roman"/>
          <w:sz w:val="20"/>
          <w:szCs w:val="20"/>
        </w:rPr>
        <w:footnoteRef/>
      </w:r>
      <w:r w:rsidRPr="00E27FF5">
        <w:rPr>
          <w:rFonts w:ascii="Times New Roman" w:hAnsi="Times New Roman" w:cs="Times New Roman"/>
          <w:sz w:val="20"/>
          <w:szCs w:val="20"/>
        </w:rPr>
        <w:t xml:space="preserve"> Por. Ł. </w:t>
      </w:r>
      <w:proofErr w:type="spellStart"/>
      <w:r w:rsidRPr="00E27FF5">
        <w:rPr>
          <w:rFonts w:ascii="Times New Roman" w:eastAsia="Calibri" w:hAnsi="Times New Roman" w:cs="Times New Roman"/>
          <w:bCs/>
          <w:iCs/>
          <w:sz w:val="20"/>
          <w:szCs w:val="20"/>
        </w:rPr>
        <w:t>Kumięga</w:t>
      </w:r>
      <w:proofErr w:type="spellEnd"/>
      <w:r w:rsidRPr="00E27FF5">
        <w:rPr>
          <w:rFonts w:ascii="Times New Roman" w:eastAsia="Calibri" w:hAnsi="Times New Roman" w:cs="Times New Roman"/>
          <w:bCs/>
          <w:iCs/>
          <w:sz w:val="20"/>
          <w:szCs w:val="20"/>
        </w:rPr>
        <w:t xml:space="preserve">, M. Nowicka, </w:t>
      </w:r>
      <w:r w:rsidRPr="00E27FF5">
        <w:rPr>
          <w:rFonts w:ascii="Times New Roman" w:eastAsia="Calibri" w:hAnsi="Times New Roman" w:cs="Times New Roman"/>
          <w:bCs/>
          <w:i/>
          <w:iCs/>
          <w:sz w:val="20"/>
          <w:szCs w:val="20"/>
        </w:rPr>
        <w:t>Dyskurs o badaniach nad dyskursem w Niemczech</w:t>
      </w:r>
      <w:r w:rsidRPr="00E27FF5">
        <w:rPr>
          <w:rFonts w:ascii="Times New Roman" w:eastAsia="Calibri" w:hAnsi="Times New Roman" w:cs="Times New Roman"/>
          <w:bCs/>
          <w:iCs/>
          <w:sz w:val="20"/>
          <w:szCs w:val="20"/>
        </w:rPr>
        <w:t>, „Oblicza Komunikacji” 2012 nr 5.</w:t>
      </w:r>
    </w:p>
  </w:footnote>
  <w:footnote w:id="6">
    <w:p w:rsidR="00DD6333" w:rsidRPr="00E27FF5" w:rsidRDefault="00DD6333" w:rsidP="00DD6333">
      <w:pPr>
        <w:pStyle w:val="Tekstprzypisudolnego"/>
        <w:jc w:val="both"/>
        <w:rPr>
          <w:rFonts w:ascii="Times New Roman" w:hAnsi="Times New Roman" w:cs="Times New Roman"/>
          <w:iCs/>
          <w:lang w:val="en-US"/>
        </w:rPr>
      </w:pPr>
      <w:r w:rsidRPr="00E27FF5">
        <w:rPr>
          <w:rStyle w:val="Odwoanieprzypisudolnego"/>
          <w:rFonts w:ascii="Times New Roman" w:hAnsi="Times New Roman" w:cs="Times New Roman"/>
        </w:rPr>
        <w:footnoteRef/>
      </w:r>
      <w:r w:rsidRPr="00E27FF5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E27FF5">
        <w:rPr>
          <w:rFonts w:ascii="Times New Roman" w:hAnsi="Times New Roman" w:cs="Times New Roman"/>
          <w:lang w:val="en-US"/>
        </w:rPr>
        <w:t>Zob</w:t>
      </w:r>
      <w:proofErr w:type="spellEnd"/>
      <w:r w:rsidRPr="00E27FF5">
        <w:rPr>
          <w:rFonts w:ascii="Times New Roman" w:hAnsi="Times New Roman" w:cs="Times New Roman"/>
          <w:lang w:val="en-US"/>
        </w:rPr>
        <w:t xml:space="preserve">. </w:t>
      </w:r>
      <w:r w:rsidRPr="00E27FF5">
        <w:rPr>
          <w:rFonts w:ascii="Times New Roman" w:hAnsi="Times New Roman" w:cs="Times New Roman"/>
          <w:iCs/>
          <w:lang w:val="en-US"/>
        </w:rPr>
        <w:t xml:space="preserve">S. </w:t>
      </w:r>
      <w:proofErr w:type="spellStart"/>
      <w:r w:rsidRPr="00E27FF5">
        <w:rPr>
          <w:rFonts w:ascii="Times New Roman" w:hAnsi="Times New Roman" w:cs="Times New Roman"/>
          <w:iCs/>
          <w:lang w:val="en-US"/>
        </w:rPr>
        <w:t>Raffnsøe</w:t>
      </w:r>
      <w:proofErr w:type="spellEnd"/>
      <w:r w:rsidRPr="00E27FF5">
        <w:rPr>
          <w:rFonts w:ascii="Times New Roman" w:hAnsi="Times New Roman" w:cs="Times New Roman"/>
          <w:iCs/>
          <w:lang w:val="en-US"/>
        </w:rPr>
        <w:t xml:space="preserve">, M. </w:t>
      </w:r>
      <w:proofErr w:type="spellStart"/>
      <w:r w:rsidRPr="00E27FF5">
        <w:rPr>
          <w:rFonts w:ascii="Times New Roman" w:hAnsi="Times New Roman" w:cs="Times New Roman"/>
          <w:iCs/>
          <w:lang w:val="en-US"/>
        </w:rPr>
        <w:t>Gudmand-Høyer</w:t>
      </w:r>
      <w:proofErr w:type="spellEnd"/>
      <w:r w:rsidRPr="00E27FF5">
        <w:rPr>
          <w:rFonts w:ascii="Times New Roman" w:hAnsi="Times New Roman" w:cs="Times New Roman"/>
          <w:iCs/>
          <w:lang w:val="en-US"/>
        </w:rPr>
        <w:t xml:space="preserve">, M. S. </w:t>
      </w:r>
      <w:proofErr w:type="spellStart"/>
      <w:r w:rsidRPr="00E27FF5">
        <w:rPr>
          <w:rFonts w:ascii="Times New Roman" w:hAnsi="Times New Roman" w:cs="Times New Roman"/>
          <w:iCs/>
          <w:lang w:val="en-US"/>
        </w:rPr>
        <w:t>Thaning</w:t>
      </w:r>
      <w:proofErr w:type="spellEnd"/>
      <w:r w:rsidRPr="00E27FF5">
        <w:rPr>
          <w:rFonts w:ascii="Times New Roman" w:hAnsi="Times New Roman" w:cs="Times New Roman"/>
          <w:iCs/>
          <w:lang w:val="en-US"/>
        </w:rPr>
        <w:t xml:space="preserve">, </w:t>
      </w:r>
      <w:r w:rsidRPr="00E27FF5">
        <w:rPr>
          <w:rFonts w:ascii="Times New Roman" w:hAnsi="Times New Roman" w:cs="Times New Roman"/>
          <w:i/>
          <w:iCs/>
          <w:lang w:val="en-US"/>
        </w:rPr>
        <w:t xml:space="preserve">Foucault’s dispositive: The perspicacity of dispositive analytics in organizational research, </w:t>
      </w:r>
      <w:r w:rsidRPr="00E27FF5">
        <w:rPr>
          <w:rFonts w:ascii="Times New Roman" w:hAnsi="Times New Roman" w:cs="Times New Roman"/>
          <w:iCs/>
          <w:lang w:val="en-US"/>
        </w:rPr>
        <w:t>“Organization”, 2014 Sept. 17; DOI: 10.1177/1350508414549885.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5E01"/>
    <w:rsid w:val="00056232"/>
    <w:rsid w:val="000D1011"/>
    <w:rsid w:val="00646CDB"/>
    <w:rsid w:val="006D5F0B"/>
    <w:rsid w:val="006D6575"/>
    <w:rsid w:val="007A58B8"/>
    <w:rsid w:val="007C5A35"/>
    <w:rsid w:val="00822114"/>
    <w:rsid w:val="008554C3"/>
    <w:rsid w:val="009C5E01"/>
    <w:rsid w:val="00CC4143"/>
    <w:rsid w:val="00CC638C"/>
    <w:rsid w:val="00DD6333"/>
    <w:rsid w:val="00E27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D7F95E3-F1EE-42AF-BC9A-7742A8AB7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DD6333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DD6333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DD6333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390</Words>
  <Characters>2341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praca1</dc:creator>
  <cp:keywords/>
  <dc:description/>
  <cp:lastModifiedBy>Użytkownik systemu Windows</cp:lastModifiedBy>
  <cp:revision>2</cp:revision>
  <dcterms:created xsi:type="dcterms:W3CDTF">2018-04-20T09:50:00Z</dcterms:created>
  <dcterms:modified xsi:type="dcterms:W3CDTF">2018-04-20T09:50:00Z</dcterms:modified>
</cp:coreProperties>
</file>