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469" w:rsidRDefault="00571469" w:rsidP="00571469">
      <w:pPr>
        <w:jc w:val="right"/>
        <w:rPr>
          <w:rFonts w:ascii="Book Antiqua" w:hAnsi="Book Antiqua"/>
          <w:b/>
          <w:szCs w:val="20"/>
        </w:rPr>
      </w:pPr>
      <w:r>
        <w:rPr>
          <w:rFonts w:ascii="Book Antiqua" w:hAnsi="Book Antiqua"/>
          <w:b/>
          <w:szCs w:val="20"/>
        </w:rPr>
        <w:t>Załącznik nr 3</w:t>
      </w:r>
    </w:p>
    <w:p w:rsidR="00571469" w:rsidRPr="0042534B" w:rsidRDefault="00571469" w:rsidP="00571469">
      <w:pPr>
        <w:rPr>
          <w:rFonts w:cs="Arial"/>
          <w:b/>
          <w:sz w:val="22"/>
          <w:szCs w:val="22"/>
        </w:rPr>
      </w:pPr>
      <w:r w:rsidRPr="00571469">
        <w:rPr>
          <w:rFonts w:cs="Arial"/>
          <w:b/>
          <w:sz w:val="22"/>
          <w:szCs w:val="22"/>
        </w:rPr>
        <w:t xml:space="preserve">ZAPYTANIE OFERTOWE NR </w:t>
      </w:r>
      <w:r w:rsidRPr="00571469">
        <w:rPr>
          <w:rFonts w:cs="Arial"/>
          <w:b/>
          <w:bCs/>
          <w:sz w:val="22"/>
          <w:szCs w:val="22"/>
        </w:rPr>
        <w:t>UKW/</w:t>
      </w:r>
      <w:r w:rsidRPr="00571469">
        <w:rPr>
          <w:rFonts w:cs="Arial"/>
          <w:b/>
          <w:sz w:val="22"/>
          <w:szCs w:val="22"/>
        </w:rPr>
        <w:t>DZP-282-ZO-116/2018</w:t>
      </w:r>
    </w:p>
    <w:p w:rsidR="00571469" w:rsidRPr="0022255F" w:rsidRDefault="00571469" w:rsidP="00571469">
      <w:pPr>
        <w:jc w:val="both"/>
        <w:rPr>
          <w:rFonts w:cs="Arial"/>
          <w:b/>
          <w:i/>
          <w:sz w:val="22"/>
          <w:szCs w:val="22"/>
        </w:rPr>
      </w:pPr>
      <w:r w:rsidRPr="0022255F">
        <w:rPr>
          <w:rFonts w:cs="Arial"/>
          <w:b/>
          <w:sz w:val="22"/>
          <w:szCs w:val="22"/>
        </w:rPr>
        <w:t>Tytuł zamówienia</w:t>
      </w:r>
      <w:r w:rsidRPr="0022255F">
        <w:rPr>
          <w:rFonts w:cs="Arial"/>
          <w:sz w:val="22"/>
          <w:szCs w:val="22"/>
        </w:rPr>
        <w:t xml:space="preserve">: </w:t>
      </w:r>
      <w:r w:rsidRPr="0022255F">
        <w:rPr>
          <w:rFonts w:cs="Arial"/>
          <w:i/>
          <w:sz w:val="22"/>
          <w:szCs w:val="22"/>
        </w:rPr>
        <w:t xml:space="preserve">ubezpieczenia komunikacyjne (OC, AC, NNW, Assistance, ZK) pojazdu Volkswagen </w:t>
      </w:r>
      <w:proofErr w:type="spellStart"/>
      <w:r w:rsidRPr="0022255F">
        <w:rPr>
          <w:rFonts w:eastAsia="Calibri" w:cs="Arial"/>
          <w:i/>
          <w:sz w:val="22"/>
          <w:szCs w:val="22"/>
        </w:rPr>
        <w:t>Caravelle</w:t>
      </w:r>
      <w:proofErr w:type="spellEnd"/>
      <w:r w:rsidRPr="0022255F">
        <w:rPr>
          <w:rFonts w:eastAsia="Calibri" w:cs="Arial"/>
          <w:i/>
          <w:sz w:val="22"/>
          <w:szCs w:val="22"/>
        </w:rPr>
        <w:t xml:space="preserve"> </w:t>
      </w:r>
      <w:proofErr w:type="spellStart"/>
      <w:r w:rsidRPr="0022255F">
        <w:rPr>
          <w:rFonts w:eastAsia="Calibri" w:cs="Arial"/>
          <w:i/>
          <w:sz w:val="22"/>
          <w:szCs w:val="22"/>
        </w:rPr>
        <w:t>Comfortline</w:t>
      </w:r>
      <w:proofErr w:type="spellEnd"/>
      <w:r w:rsidRPr="0022255F">
        <w:rPr>
          <w:rFonts w:eastAsia="Calibri" w:cs="Arial"/>
          <w:i/>
          <w:sz w:val="22"/>
          <w:szCs w:val="22"/>
        </w:rPr>
        <w:t xml:space="preserve"> 2.0 </w:t>
      </w:r>
      <w:proofErr w:type="spellStart"/>
      <w:r w:rsidRPr="0022255F">
        <w:rPr>
          <w:rFonts w:eastAsia="Calibri" w:cs="Arial"/>
          <w:i/>
          <w:sz w:val="22"/>
          <w:szCs w:val="22"/>
        </w:rPr>
        <w:t>TDl</w:t>
      </w:r>
      <w:proofErr w:type="spellEnd"/>
      <w:r w:rsidRPr="0022255F">
        <w:rPr>
          <w:rFonts w:eastAsia="Calibri" w:cs="Arial"/>
          <w:i/>
          <w:sz w:val="22"/>
          <w:szCs w:val="22"/>
        </w:rPr>
        <w:t xml:space="preserve"> 150 KM</w:t>
      </w:r>
    </w:p>
    <w:p w:rsidR="00571469" w:rsidRDefault="00571469" w:rsidP="00571469">
      <w:pPr>
        <w:spacing w:after="0" w:line="276" w:lineRule="auto"/>
        <w:rPr>
          <w:rFonts w:cs="Arial"/>
          <w:b/>
          <w:sz w:val="22"/>
          <w:szCs w:val="22"/>
          <w:u w:val="single"/>
        </w:rPr>
      </w:pPr>
    </w:p>
    <w:p w:rsidR="00571469" w:rsidRPr="00AD77CB" w:rsidRDefault="00571469" w:rsidP="00571469">
      <w:pPr>
        <w:spacing w:after="0" w:line="276" w:lineRule="auto"/>
        <w:rPr>
          <w:rFonts w:cs="Arial"/>
          <w:b/>
          <w:sz w:val="22"/>
          <w:szCs w:val="22"/>
          <w:u w:val="single"/>
        </w:rPr>
      </w:pPr>
      <w:r w:rsidRPr="00AD77CB">
        <w:rPr>
          <w:rFonts w:cs="Arial"/>
          <w:b/>
          <w:sz w:val="22"/>
          <w:szCs w:val="22"/>
          <w:u w:val="single"/>
        </w:rPr>
        <w:t>Zamawiający/ Ubezpieczający/ Ubezpieczony:</w:t>
      </w:r>
    </w:p>
    <w:p w:rsidR="00571469" w:rsidRPr="00AD77CB" w:rsidRDefault="00571469" w:rsidP="00571469">
      <w:pPr>
        <w:spacing w:line="276" w:lineRule="auto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Uniwersytet Kazimierza Wielkiego z siedzibą w Bydg</w:t>
      </w:r>
      <w:r>
        <w:rPr>
          <w:rFonts w:cs="Arial"/>
          <w:sz w:val="22"/>
          <w:szCs w:val="22"/>
        </w:rPr>
        <w:t>oszczy przy ul. Chodkiewicza 30</w:t>
      </w:r>
    </w:p>
    <w:p w:rsidR="00571469" w:rsidRPr="00AD77CB" w:rsidRDefault="00571469" w:rsidP="00571469">
      <w:pPr>
        <w:pStyle w:val="Tekstpodstawowy3"/>
        <w:tabs>
          <w:tab w:val="left" w:pos="0"/>
        </w:tabs>
        <w:spacing w:after="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Regon: 340057695</w:t>
      </w:r>
    </w:p>
    <w:p w:rsidR="00571469" w:rsidRPr="00AD77CB" w:rsidRDefault="00571469" w:rsidP="00571469">
      <w:pPr>
        <w:pStyle w:val="Tekstpodstawowy3"/>
        <w:tabs>
          <w:tab w:val="left" w:pos="0"/>
        </w:tabs>
        <w:spacing w:after="0" w:line="276" w:lineRule="auto"/>
        <w:rPr>
          <w:rFonts w:cs="Arial"/>
          <w:bCs/>
          <w:szCs w:val="22"/>
        </w:rPr>
      </w:pPr>
      <w:r w:rsidRPr="00AD77CB">
        <w:rPr>
          <w:rFonts w:cs="Arial"/>
          <w:bCs/>
          <w:szCs w:val="22"/>
        </w:rPr>
        <w:t>NIP: 5542647568</w:t>
      </w:r>
    </w:p>
    <w:p w:rsidR="00571469" w:rsidRDefault="00571469" w:rsidP="00571469">
      <w:pPr>
        <w:pStyle w:val="Tekstpodstawowy3"/>
        <w:widowControl w:val="0"/>
        <w:tabs>
          <w:tab w:val="left" w:pos="3405"/>
        </w:tabs>
        <w:spacing w:line="276" w:lineRule="auto"/>
        <w:jc w:val="both"/>
        <w:rPr>
          <w:rFonts w:cs="Arial"/>
          <w:snapToGrid w:val="0"/>
          <w:szCs w:val="22"/>
        </w:rPr>
      </w:pPr>
    </w:p>
    <w:p w:rsidR="00571469" w:rsidRPr="007E6F30" w:rsidRDefault="00571469" w:rsidP="00571469">
      <w:pPr>
        <w:pStyle w:val="Tekstpodstawowy3"/>
        <w:widowControl w:val="0"/>
        <w:tabs>
          <w:tab w:val="left" w:pos="3405"/>
        </w:tabs>
        <w:spacing w:line="276" w:lineRule="auto"/>
        <w:jc w:val="both"/>
        <w:rPr>
          <w:rFonts w:cs="Arial"/>
          <w:snapToGrid w:val="0"/>
          <w:szCs w:val="22"/>
        </w:rPr>
      </w:pPr>
      <w:r w:rsidRPr="007E6F30">
        <w:rPr>
          <w:rFonts w:cs="Arial"/>
          <w:snapToGrid w:val="0"/>
          <w:szCs w:val="22"/>
        </w:rPr>
        <w:t>Wykonawca, którego oferta zostanie wybrana, przekaże Zamawiającemu szczegółowe wyliczenie rocznych składek ubezpieczeniowych za poszczególne ryzyka, z podaniem stawek za ubezpieczenie autocasco. Stawki te będą obowiązywały na dwa okresy roczne.</w:t>
      </w:r>
    </w:p>
    <w:p w:rsidR="00571469" w:rsidRPr="007E6F30" w:rsidRDefault="00571469" w:rsidP="00571469">
      <w:pPr>
        <w:spacing w:before="120" w:after="0" w:line="276" w:lineRule="auto"/>
        <w:jc w:val="both"/>
        <w:rPr>
          <w:sz w:val="22"/>
          <w:szCs w:val="22"/>
        </w:rPr>
      </w:pPr>
      <w:r w:rsidRPr="007E6F30">
        <w:rPr>
          <w:rFonts w:cs="Arial"/>
          <w:sz w:val="22"/>
          <w:szCs w:val="22"/>
        </w:rPr>
        <w:t>Niniejsze zapytanie ofertowe jest wnioskiem ubezpieczeniowym w rozumieniu przepisów kodeksu cywilnego, na podstawie którego ubezpieczyciel potwierdzi zawarcie umów ubezpieczenia w formie polis (c</w:t>
      </w:r>
      <w:r>
        <w:rPr>
          <w:rFonts w:cs="Arial"/>
          <w:sz w:val="22"/>
          <w:szCs w:val="22"/>
        </w:rPr>
        <w:t>ertyfikatów) ubezpieczeniowych.</w:t>
      </w:r>
    </w:p>
    <w:p w:rsidR="00571469" w:rsidRPr="007E6F30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 xml:space="preserve">Sumy ubezpieczenia mają zastosowanie odrębnie do każdego z dwóch </w:t>
      </w:r>
      <w:r>
        <w:rPr>
          <w:rFonts w:cs="Arial"/>
          <w:sz w:val="22"/>
          <w:szCs w:val="22"/>
        </w:rPr>
        <w:t>rocznych okresów ubezpieczenia.</w:t>
      </w:r>
    </w:p>
    <w:p w:rsidR="00571469" w:rsidRPr="007E6F30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Warunki poszczególnych ubezpieczeń opisanych w niniejszej specyfikacji stanowią warunki szczególne w rozumieniu kodeksu cywilnego i mają pierwszeństwo w zastosowaniu i interpretacji umów przed ogólnymi warunkami ubezpieczenia.</w:t>
      </w:r>
    </w:p>
    <w:p w:rsidR="00571469" w:rsidRPr="0022255F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 xml:space="preserve">Wykazy składek i stawek ubezpieczeniowych dla poszczególnych </w:t>
      </w:r>
      <w:proofErr w:type="spellStart"/>
      <w:r w:rsidRPr="007E6F30">
        <w:rPr>
          <w:rFonts w:cs="Arial"/>
          <w:sz w:val="22"/>
          <w:szCs w:val="22"/>
        </w:rPr>
        <w:t>ryzyk</w:t>
      </w:r>
      <w:proofErr w:type="spellEnd"/>
      <w:r w:rsidRPr="007E6F30">
        <w:rPr>
          <w:rFonts w:cs="Arial"/>
          <w:sz w:val="22"/>
          <w:szCs w:val="22"/>
        </w:rPr>
        <w:t xml:space="preserve">, w zakresie ubezpieczeń będących przedmiotem niniejszego zmówienia, </w:t>
      </w:r>
      <w:r w:rsidRPr="0022255F">
        <w:rPr>
          <w:rFonts w:cs="Arial"/>
          <w:sz w:val="22"/>
          <w:szCs w:val="22"/>
        </w:rPr>
        <w:t xml:space="preserve">stanowić będą załącznik nr </w:t>
      </w:r>
      <w:r>
        <w:rPr>
          <w:rFonts w:cs="Arial"/>
          <w:sz w:val="22"/>
          <w:szCs w:val="22"/>
        </w:rPr>
        <w:t>1</w:t>
      </w:r>
      <w:r w:rsidRPr="0022255F">
        <w:rPr>
          <w:rFonts w:cs="Arial"/>
          <w:sz w:val="22"/>
          <w:szCs w:val="22"/>
        </w:rPr>
        <w:t xml:space="preserve"> Formularz ofertowy.</w:t>
      </w:r>
    </w:p>
    <w:p w:rsidR="00571469" w:rsidRPr="007E6F30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Zamawiający oświadcza, iż będąc podatnikiem podatku od towarów i usług (VAT) nie jest uprawniony do odliczania tego podatku w przypadku odtworzenia utraconych lub zniszczonych w wyniku sz</w:t>
      </w:r>
      <w:r>
        <w:rPr>
          <w:rFonts w:cs="Arial"/>
          <w:sz w:val="22"/>
          <w:szCs w:val="22"/>
        </w:rPr>
        <w:t>kody przedmiotów ubezpieczenia.</w:t>
      </w:r>
    </w:p>
    <w:p w:rsidR="00571469" w:rsidRPr="007E6F30" w:rsidRDefault="00571469" w:rsidP="00571469">
      <w:pPr>
        <w:spacing w:before="12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Suma ubezpieczenia podana jest w wartości brutto z podatkiem VAT.</w:t>
      </w:r>
    </w:p>
    <w:p w:rsidR="00571469" w:rsidRPr="0022255F" w:rsidRDefault="00571469" w:rsidP="00571469">
      <w:pPr>
        <w:spacing w:line="240" w:lineRule="auto"/>
        <w:jc w:val="both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Przedmiot ubezpieczenia</w:t>
      </w:r>
    </w:p>
    <w:p w:rsidR="00571469" w:rsidRPr="0022255F" w:rsidRDefault="00571469" w:rsidP="00571469">
      <w:pPr>
        <w:spacing w:line="240" w:lineRule="auto"/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</w:t>
      </w:r>
      <w:r w:rsidRPr="0022255F">
        <w:rPr>
          <w:rFonts w:cs="Arial"/>
          <w:sz w:val="22"/>
          <w:szCs w:val="22"/>
        </w:rPr>
        <w:t xml:space="preserve">bezpieczenia komunikacyjne (OC, AC, NNW, Assistance, ZK) nowo kupowanego pojazdu Volkswagen </w:t>
      </w:r>
      <w:proofErr w:type="spellStart"/>
      <w:r w:rsidRPr="0022255F">
        <w:rPr>
          <w:rFonts w:eastAsia="Calibri" w:cs="Arial"/>
          <w:sz w:val="22"/>
          <w:szCs w:val="22"/>
        </w:rPr>
        <w:t>Caravelle</w:t>
      </w:r>
      <w:proofErr w:type="spellEnd"/>
      <w:r w:rsidRPr="0022255F">
        <w:rPr>
          <w:rFonts w:eastAsia="Calibri" w:cs="Arial"/>
          <w:sz w:val="22"/>
          <w:szCs w:val="22"/>
        </w:rPr>
        <w:t xml:space="preserve"> </w:t>
      </w:r>
      <w:proofErr w:type="spellStart"/>
      <w:r w:rsidRPr="0022255F">
        <w:rPr>
          <w:rFonts w:eastAsia="Calibri" w:cs="Arial"/>
          <w:sz w:val="22"/>
          <w:szCs w:val="22"/>
        </w:rPr>
        <w:t>Comfortline</w:t>
      </w:r>
      <w:proofErr w:type="spellEnd"/>
      <w:r w:rsidRPr="0022255F">
        <w:rPr>
          <w:rFonts w:eastAsia="Calibri" w:cs="Arial"/>
          <w:sz w:val="22"/>
          <w:szCs w:val="22"/>
        </w:rPr>
        <w:t xml:space="preserve"> 2.0 </w:t>
      </w:r>
      <w:proofErr w:type="spellStart"/>
      <w:r w:rsidRPr="0022255F">
        <w:rPr>
          <w:rFonts w:eastAsia="Calibri" w:cs="Arial"/>
          <w:sz w:val="22"/>
          <w:szCs w:val="22"/>
        </w:rPr>
        <w:t>TDl</w:t>
      </w:r>
      <w:proofErr w:type="spellEnd"/>
      <w:r w:rsidRPr="0022255F">
        <w:rPr>
          <w:rFonts w:eastAsia="Calibri" w:cs="Arial"/>
          <w:sz w:val="22"/>
          <w:szCs w:val="22"/>
        </w:rPr>
        <w:t xml:space="preserve"> 150 KM</w:t>
      </w:r>
    </w:p>
    <w:p w:rsidR="00571469" w:rsidRDefault="00571469" w:rsidP="00571469">
      <w:pPr>
        <w:pStyle w:val="Nagwek4"/>
        <w:numPr>
          <w:ilvl w:val="0"/>
          <w:numId w:val="0"/>
        </w:numPr>
        <w:tabs>
          <w:tab w:val="left" w:pos="709"/>
        </w:tabs>
        <w:spacing w:line="240" w:lineRule="auto"/>
        <w:ind w:left="1412" w:hanging="703"/>
        <w:jc w:val="both"/>
        <w:rPr>
          <w:rFonts w:cs="Arial"/>
          <w:b w:val="0"/>
          <w:sz w:val="22"/>
          <w:szCs w:val="22"/>
        </w:rPr>
      </w:pPr>
      <w:r>
        <w:rPr>
          <w:rFonts w:cs="Arial"/>
          <w:b w:val="0"/>
          <w:sz w:val="22"/>
          <w:szCs w:val="22"/>
        </w:rPr>
        <w:t>D</w:t>
      </w:r>
      <w:r w:rsidRPr="0022255F">
        <w:rPr>
          <w:rFonts w:cs="Arial"/>
          <w:b w:val="0"/>
          <w:sz w:val="22"/>
          <w:szCs w:val="22"/>
        </w:rPr>
        <w:t xml:space="preserve">ane dotyczące </w:t>
      </w:r>
      <w:r>
        <w:rPr>
          <w:rFonts w:cs="Arial"/>
          <w:b w:val="0"/>
          <w:sz w:val="22"/>
          <w:szCs w:val="22"/>
        </w:rPr>
        <w:t>pojazdu podano w załączniku nr 3</w:t>
      </w:r>
      <w:r w:rsidRPr="0022255F">
        <w:rPr>
          <w:rFonts w:cs="Arial"/>
          <w:b w:val="0"/>
          <w:sz w:val="22"/>
          <w:szCs w:val="22"/>
        </w:rPr>
        <w:t>.1</w:t>
      </w:r>
    </w:p>
    <w:p w:rsidR="00571469" w:rsidRPr="00A233CD" w:rsidRDefault="00571469" w:rsidP="00571469">
      <w:pPr>
        <w:spacing w:line="240" w:lineRule="auto"/>
        <w:ind w:left="703"/>
        <w:jc w:val="both"/>
        <w:rPr>
          <w:sz w:val="22"/>
        </w:rPr>
      </w:pPr>
      <w:r>
        <w:rPr>
          <w:sz w:val="22"/>
        </w:rPr>
        <w:t>D</w:t>
      </w:r>
      <w:r w:rsidRPr="00A233CD">
        <w:rPr>
          <w:sz w:val="22"/>
        </w:rPr>
        <w:t>ane dotyczące pr</w:t>
      </w:r>
      <w:r>
        <w:rPr>
          <w:sz w:val="22"/>
        </w:rPr>
        <w:t xml:space="preserve">zebiegu szkodowego ubezpieczeń komunikacyjnych pojazdów </w:t>
      </w:r>
      <w:r w:rsidRPr="00AD77CB">
        <w:rPr>
          <w:rFonts w:cs="Arial"/>
          <w:sz w:val="22"/>
          <w:szCs w:val="22"/>
        </w:rPr>
        <w:t>Uniwersytet</w:t>
      </w:r>
      <w:r>
        <w:rPr>
          <w:rFonts w:cs="Arial"/>
          <w:sz w:val="22"/>
          <w:szCs w:val="22"/>
        </w:rPr>
        <w:t>u</w:t>
      </w:r>
      <w:r w:rsidRPr="00AD77CB">
        <w:rPr>
          <w:rFonts w:cs="Arial"/>
          <w:sz w:val="22"/>
          <w:szCs w:val="22"/>
        </w:rPr>
        <w:t xml:space="preserve"> Kazimierza Wielkiego </w:t>
      </w:r>
      <w:r>
        <w:rPr>
          <w:sz w:val="22"/>
        </w:rPr>
        <w:t>podano w załączniku 3</w:t>
      </w:r>
      <w:r w:rsidRPr="00A233CD">
        <w:rPr>
          <w:sz w:val="22"/>
        </w:rPr>
        <w:t>.2</w:t>
      </w:r>
    </w:p>
    <w:p w:rsidR="00571469" w:rsidRDefault="00571469" w:rsidP="00571469">
      <w:pPr>
        <w:tabs>
          <w:tab w:val="num" w:pos="420"/>
        </w:tabs>
        <w:spacing w:line="276" w:lineRule="auto"/>
        <w:rPr>
          <w:rFonts w:cs="Arial"/>
          <w:b/>
          <w:sz w:val="22"/>
          <w:szCs w:val="22"/>
          <w:u w:val="single"/>
        </w:rPr>
      </w:pPr>
    </w:p>
    <w:p w:rsidR="00571469" w:rsidRPr="0022255F" w:rsidRDefault="00571469" w:rsidP="00571469">
      <w:pPr>
        <w:tabs>
          <w:tab w:val="num" w:pos="420"/>
        </w:tabs>
        <w:spacing w:line="276" w:lineRule="auto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Okresy ubezpieczenia:</w:t>
      </w:r>
    </w:p>
    <w:p w:rsidR="00571469" w:rsidRPr="0042534B" w:rsidRDefault="00571469" w:rsidP="00571469">
      <w:pPr>
        <w:pStyle w:val="Akapitzlist"/>
        <w:tabs>
          <w:tab w:val="left" w:pos="1080"/>
        </w:tabs>
        <w:spacing w:after="0" w:line="276" w:lineRule="auto"/>
        <w:jc w:val="both"/>
        <w:rPr>
          <w:rFonts w:cs="Arial"/>
          <w:bCs/>
          <w:sz w:val="22"/>
          <w:szCs w:val="22"/>
        </w:rPr>
      </w:pPr>
      <w:r w:rsidRPr="007E6F30">
        <w:rPr>
          <w:rFonts w:cs="Arial"/>
          <w:bCs/>
          <w:sz w:val="22"/>
          <w:szCs w:val="22"/>
        </w:rPr>
        <w:t>Okres ubezpieczenia wynosi 24 miesiące i dzieli się na dwa 12-to miesięczne okresy rozliczeniowe</w:t>
      </w:r>
      <w:r>
        <w:rPr>
          <w:rFonts w:cs="Arial"/>
          <w:bCs/>
          <w:sz w:val="22"/>
          <w:szCs w:val="22"/>
        </w:rPr>
        <w:t>,</w:t>
      </w:r>
      <w:r w:rsidRPr="007E6F30">
        <w:rPr>
          <w:rFonts w:cs="Arial"/>
          <w:bCs/>
          <w:sz w:val="22"/>
          <w:szCs w:val="22"/>
        </w:rPr>
        <w:t xml:space="preserve"> na które </w:t>
      </w:r>
      <w:r w:rsidRPr="0042534B">
        <w:rPr>
          <w:rFonts w:cs="Arial"/>
          <w:bCs/>
          <w:sz w:val="22"/>
          <w:szCs w:val="22"/>
        </w:rPr>
        <w:t>zostaną wystawione odrębne polisy ubezpieczeniowe. Początek okresu ubezpieczenia – polisy zostaną wystawione bezpośrednio po wyborze oferty i poinformowaniu wybranego Wykonawcy.</w:t>
      </w:r>
    </w:p>
    <w:p w:rsidR="00571469" w:rsidRDefault="00571469" w:rsidP="00571469">
      <w:pPr>
        <w:pStyle w:val="Akapitzlist"/>
        <w:tabs>
          <w:tab w:val="left" w:pos="1080"/>
        </w:tabs>
        <w:spacing w:after="0" w:line="276" w:lineRule="auto"/>
        <w:jc w:val="both"/>
        <w:rPr>
          <w:rFonts w:cs="Arial"/>
          <w:bCs/>
          <w:sz w:val="22"/>
          <w:szCs w:val="22"/>
        </w:rPr>
      </w:pPr>
    </w:p>
    <w:p w:rsidR="00571469" w:rsidRPr="0022255F" w:rsidRDefault="00571469" w:rsidP="00571469">
      <w:pPr>
        <w:spacing w:before="120" w:line="276" w:lineRule="auto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Płatność składki:</w:t>
      </w:r>
    </w:p>
    <w:p w:rsidR="00571469" w:rsidRPr="007E6F30" w:rsidRDefault="00571469" w:rsidP="00571469">
      <w:pPr>
        <w:pStyle w:val="Akapitzlist"/>
        <w:spacing w:before="12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Składka za ubezpieczenia komunikacyjne będzie płatna jednorazowo za każdy roczny okres ubezpieczenia, w terminie 14 dni od rozpoczęcia ochrony ubezpieczeniowej.</w:t>
      </w: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line="276" w:lineRule="auto"/>
        <w:rPr>
          <w:rFonts w:cs="Arial"/>
          <w:b/>
          <w:szCs w:val="22"/>
          <w:u w:val="single"/>
        </w:rPr>
      </w:pPr>
      <w:r w:rsidRPr="001955C0">
        <w:rPr>
          <w:rFonts w:cs="Arial"/>
          <w:b/>
          <w:szCs w:val="22"/>
          <w:u w:val="single"/>
        </w:rPr>
        <w:t>Postanowienia wspólne</w:t>
      </w:r>
    </w:p>
    <w:p w:rsidR="00571469" w:rsidRPr="001955C0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line="276" w:lineRule="auto"/>
        <w:rPr>
          <w:rFonts w:cs="Arial"/>
          <w:b/>
          <w:szCs w:val="22"/>
          <w:u w:val="single"/>
        </w:rPr>
      </w:pPr>
    </w:p>
    <w:p w:rsidR="00571469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Przyjęcie pojazdu do ubezpieczenia (przedmiotowy pojazd jest nowo kupowany) – bez dokonania oględzin i zdjęć zarówno w pierwszym jak i drugim okresie ubezpieczenia.</w:t>
      </w:r>
    </w:p>
    <w:p w:rsidR="00571469" w:rsidRPr="00AD77CB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line="276" w:lineRule="auto"/>
        <w:ind w:left="720"/>
        <w:rPr>
          <w:rFonts w:cs="Arial"/>
          <w:szCs w:val="22"/>
        </w:rPr>
      </w:pP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Zasady określenia wartości pojazdu:</w:t>
      </w:r>
    </w:p>
    <w:p w:rsidR="00571469" w:rsidRPr="00AD77CB" w:rsidRDefault="00571469" w:rsidP="00571469">
      <w:pPr>
        <w:pStyle w:val="Holdingpodstawowy"/>
        <w:numPr>
          <w:ilvl w:val="0"/>
          <w:numId w:val="6"/>
        </w:numPr>
        <w:tabs>
          <w:tab w:val="clear" w:pos="0"/>
        </w:tabs>
        <w:spacing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nowy - według wartości fakturowej brutto (z VAT),</w:t>
      </w:r>
    </w:p>
    <w:p w:rsidR="00571469" w:rsidRPr="00AD77CB" w:rsidRDefault="00571469" w:rsidP="00571469">
      <w:pPr>
        <w:pStyle w:val="Holdingpodstawowy"/>
        <w:numPr>
          <w:ilvl w:val="0"/>
          <w:numId w:val="6"/>
        </w:numPr>
        <w:tabs>
          <w:tab w:val="clear" w:pos="0"/>
        </w:tabs>
        <w:spacing w:after="120" w:line="276" w:lineRule="auto"/>
        <w:ind w:left="1389" w:hanging="357"/>
        <w:rPr>
          <w:rFonts w:cs="Arial"/>
          <w:szCs w:val="22"/>
        </w:rPr>
      </w:pPr>
      <w:r w:rsidRPr="00AD77CB">
        <w:rPr>
          <w:rFonts w:cs="Arial"/>
          <w:szCs w:val="22"/>
        </w:rPr>
        <w:t>używany – według wartości rynkowej brutto, która dokonywana będzie według aktualnych w dniu zgłoszenia pojazdu do ubezpieczenia, katalogów wartości rynkowych „Info Ekspert”, „</w:t>
      </w:r>
      <w:proofErr w:type="spellStart"/>
      <w:r w:rsidRPr="00AD77CB">
        <w:rPr>
          <w:rFonts w:cs="Arial"/>
          <w:szCs w:val="22"/>
        </w:rPr>
        <w:t>Eurotax</w:t>
      </w:r>
      <w:proofErr w:type="spellEnd"/>
      <w:r w:rsidRPr="00AD77CB">
        <w:rPr>
          <w:rFonts w:cs="Arial"/>
          <w:szCs w:val="22"/>
        </w:rPr>
        <w:t>” lub „</w:t>
      </w:r>
      <w:proofErr w:type="spellStart"/>
      <w:r w:rsidRPr="00AD77CB">
        <w:rPr>
          <w:rFonts w:cs="Arial"/>
          <w:szCs w:val="22"/>
        </w:rPr>
        <w:t>Audatex</w:t>
      </w:r>
      <w:proofErr w:type="spellEnd"/>
      <w:r w:rsidRPr="00AD77CB">
        <w:rPr>
          <w:rFonts w:cs="Arial"/>
          <w:szCs w:val="22"/>
        </w:rPr>
        <w:t>”. W przypadku braku możliwości ustalenia ceny rynkowej, podstawą do ustalenia sumy ubezpieczenia będzie wycena sporządzona przez ubezpieczyciela, pod warunkiem zatwierdzenia jej przez Zamawiającego przed wystawieniem polisy.</w:t>
      </w: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 xml:space="preserve">Taryfy i warunki ubezpieczenia zastosowane przy ubezpieczeniu pojazdu mają zastosowanie również do ubezpieczenia przedmiotowego pojazdu w drugim roku ubezpieczenia, który obejmuje niniejsze </w:t>
      </w:r>
      <w:r>
        <w:rPr>
          <w:rFonts w:cs="Arial"/>
          <w:szCs w:val="22"/>
        </w:rPr>
        <w:t>zapytanie ofertowe.</w:t>
      </w: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Pojazdy zbyte, złomowane - Ubezpieczyciel rozliczy składkę w zakresie AC, NNW za dany pojazd w terminie 14 dni od daty otrzymania dokumentów zbycia (złomowania) pojazdu przez Zamawiającego; składkę podlegającą zwrotowi ustala się proporcjonalnie do niewykorzystanego okresu ubezpieczenia, przy czym niewykorzystany okres ubezpieczenia liczy się w dniach, poczynając od dnia następnego po wygaśnięciu odpowiedzialności; z kwoty podlegającej zwrotowi nie potrąca się kosztów manipulacyjnych.</w:t>
      </w: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Jeśli w okresie trwania umowy postanowienia Ogólnych Warunków Ubezpieczenia obowiązujących u Wykonawcy zostaną zmienione w taki sposób, iż będą zawierały postanowienia korzystniejsze dla Zamawiającego od obowiązujących wcześniej, Wykonawca zobowiązuje się do niezwłocznego przedłożenia tych postanowień Zamawiającemu. Zamawiający dokona wyboru zastosowania dotychczasowych warunków albo zmienionych. W przypadku wyboru warunków zmienionych, wiążą one strony z dniem przekazania do Wykonawcy przez Zamawiającego stosownej pisemnej informacji. Informacja ta jest przekazywana faksem i niezwłocznie potwierdzana pocztą.</w:t>
      </w:r>
    </w:p>
    <w:p w:rsidR="00571469" w:rsidRPr="0022255F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22255F">
        <w:rPr>
          <w:rFonts w:cs="Arial"/>
          <w:szCs w:val="22"/>
        </w:rPr>
        <w:t>System ubezpieczenia – polisa jednostkowa, polisy wystawiane odrębnie na dwa roczne okresy ubezpieczenia.</w:t>
      </w: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Pr="008A78D5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b/>
          <w:sz w:val="24"/>
          <w:u w:val="single"/>
        </w:rPr>
      </w:pPr>
      <w:r w:rsidRPr="0042534B">
        <w:rPr>
          <w:rFonts w:cs="Arial"/>
          <w:b/>
          <w:sz w:val="24"/>
          <w:u w:val="single"/>
        </w:rPr>
        <w:lastRenderedPageBreak/>
        <w:t>Ubezpieczone ryzyka</w:t>
      </w:r>
    </w:p>
    <w:p w:rsidR="00571469" w:rsidRDefault="00571469" w:rsidP="00571469">
      <w:pPr>
        <w:tabs>
          <w:tab w:val="left" w:pos="3405"/>
        </w:tabs>
        <w:spacing w:after="0" w:line="276" w:lineRule="auto"/>
        <w:jc w:val="both"/>
        <w:rPr>
          <w:rFonts w:cs="Arial"/>
          <w:b/>
          <w:sz w:val="22"/>
          <w:szCs w:val="22"/>
          <w:u w:val="single"/>
        </w:rPr>
      </w:pPr>
    </w:p>
    <w:p w:rsidR="00571469" w:rsidRPr="007E6F30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after="0" w:line="276" w:lineRule="auto"/>
        <w:jc w:val="both"/>
        <w:rPr>
          <w:rFonts w:cs="Arial"/>
          <w:sz w:val="22"/>
          <w:szCs w:val="22"/>
          <w:u w:val="single"/>
        </w:rPr>
      </w:pPr>
      <w:r w:rsidRPr="007E6F30">
        <w:rPr>
          <w:rFonts w:cs="Arial"/>
          <w:b/>
          <w:sz w:val="22"/>
          <w:szCs w:val="22"/>
          <w:u w:val="single"/>
        </w:rPr>
        <w:t>Obowiązkowe ubezpieczenie odpowiedzialności cywilnej posiadaczy pojazdów mechanicznych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jc w:val="both"/>
        <w:rPr>
          <w:rFonts w:cs="Arial"/>
          <w:sz w:val="22"/>
          <w:szCs w:val="22"/>
        </w:rPr>
      </w:pPr>
    </w:p>
    <w:p w:rsidR="00571469" w:rsidRPr="007E6F30" w:rsidRDefault="00571469" w:rsidP="00571469">
      <w:pPr>
        <w:tabs>
          <w:tab w:val="left" w:pos="3405"/>
        </w:tabs>
        <w:spacing w:after="0" w:line="276" w:lineRule="auto"/>
        <w:ind w:left="708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 xml:space="preserve">Ubezpieczenie odpowiedzialności cywilnej posiadaczy pojazdów mechanicznych będzie zgodnie z ustawą z dnia 22 maja 2003 r. o ubezpieczeniach obowiązkowych, Ubezpieczeniowym Funduszu Gwarancyjnym, Polskim Biurze Ubezpieczycieli Komunikacyjnych (Dz. U. 2003 Nr l24 poz. ll52 z </w:t>
      </w:r>
      <w:proofErr w:type="spellStart"/>
      <w:r w:rsidRPr="007E6F30">
        <w:rPr>
          <w:rFonts w:cs="Arial"/>
          <w:sz w:val="22"/>
          <w:szCs w:val="22"/>
        </w:rPr>
        <w:t>późn</w:t>
      </w:r>
      <w:proofErr w:type="spellEnd"/>
      <w:r w:rsidRPr="007E6F30">
        <w:rPr>
          <w:rFonts w:cs="Arial"/>
          <w:sz w:val="22"/>
          <w:szCs w:val="22"/>
        </w:rPr>
        <w:t>. zm.),</w:t>
      </w:r>
    </w:p>
    <w:p w:rsidR="00571469" w:rsidRPr="00AD77CB" w:rsidRDefault="00571469" w:rsidP="00571469">
      <w:pPr>
        <w:pStyle w:val="Tekstpodstawowy3"/>
        <w:spacing w:after="0" w:line="276" w:lineRule="auto"/>
        <w:ind w:left="708"/>
        <w:jc w:val="both"/>
        <w:rPr>
          <w:rFonts w:cs="Arial"/>
          <w:szCs w:val="22"/>
        </w:rPr>
      </w:pPr>
      <w:r w:rsidRPr="00AD77CB">
        <w:rPr>
          <w:rFonts w:cs="Arial"/>
          <w:szCs w:val="22"/>
        </w:rPr>
        <w:t>Obszar odpowiedzialności – Europa</w:t>
      </w:r>
    </w:p>
    <w:p w:rsidR="00571469" w:rsidRPr="00AD77CB" w:rsidRDefault="00571469" w:rsidP="00571469">
      <w:pPr>
        <w:pStyle w:val="Tekstpodstawowy3"/>
        <w:spacing w:after="0" w:line="276" w:lineRule="auto"/>
        <w:ind w:left="708"/>
        <w:jc w:val="both"/>
        <w:rPr>
          <w:rFonts w:cs="Arial"/>
          <w:szCs w:val="22"/>
        </w:rPr>
      </w:pPr>
      <w:r w:rsidRPr="00AD77CB">
        <w:rPr>
          <w:rFonts w:cs="Arial"/>
          <w:szCs w:val="22"/>
        </w:rPr>
        <w:t>Suma Gwarancyjna – minimalna ustawowa obowiązująca na podstawie aktualnych przepisów prawa</w:t>
      </w:r>
    </w:p>
    <w:p w:rsidR="00571469" w:rsidRPr="00836388" w:rsidRDefault="00571469" w:rsidP="00571469">
      <w:pPr>
        <w:pStyle w:val="Tekstpodstawowy3"/>
        <w:spacing w:after="0" w:line="276" w:lineRule="auto"/>
        <w:ind w:left="708"/>
        <w:jc w:val="both"/>
        <w:rPr>
          <w:rFonts w:cs="Arial"/>
          <w:b/>
          <w:szCs w:val="22"/>
        </w:rPr>
      </w:pPr>
      <w:r w:rsidRPr="00836388">
        <w:rPr>
          <w:rFonts w:cs="Arial"/>
          <w:bCs/>
          <w:szCs w:val="22"/>
        </w:rPr>
        <w:t>W razie konieczności wystawienia Zielonej Karty – zostanie ona wystawiona bezpłatnie.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rPr>
          <w:rFonts w:cs="Arial"/>
          <w:sz w:val="22"/>
          <w:szCs w:val="22"/>
        </w:rPr>
      </w:pPr>
    </w:p>
    <w:p w:rsidR="00571469" w:rsidRPr="007E6F30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line="276" w:lineRule="auto"/>
        <w:rPr>
          <w:rFonts w:cs="Arial"/>
          <w:b/>
          <w:sz w:val="22"/>
          <w:szCs w:val="22"/>
          <w:u w:val="single"/>
        </w:rPr>
      </w:pPr>
      <w:r w:rsidRPr="007E6F30">
        <w:rPr>
          <w:rFonts w:cs="Arial"/>
          <w:b/>
          <w:sz w:val="22"/>
          <w:szCs w:val="22"/>
          <w:u w:val="single"/>
        </w:rPr>
        <w:t>Autocasco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zakres ubezpieczenia pełny,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rozszerzenie o ryzyko kradzieży i rabunku,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brak udziału własnego, franszyzy redukcyjnej w szkodzie,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line="276" w:lineRule="auto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franszyza integralna: 500,00 zł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odszkodowanie wypłacane bez potrącania amortyzacji części i innych potrąceń z uwagi na wiek pojazdu,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brak konsumpcji sumy ubezpieczenia po wypłacie odszkodowania za szkodę częściową,</w:t>
      </w:r>
    </w:p>
    <w:p w:rsidR="00571469" w:rsidRPr="001955C0" w:rsidRDefault="00571469" w:rsidP="00571469">
      <w:pPr>
        <w:pStyle w:val="Tekstpodstawowywcity2"/>
        <w:numPr>
          <w:ilvl w:val="0"/>
          <w:numId w:val="3"/>
        </w:numPr>
        <w:tabs>
          <w:tab w:val="left" w:pos="5245"/>
          <w:tab w:val="left" w:pos="8647"/>
        </w:tabs>
        <w:spacing w:after="0" w:line="276" w:lineRule="auto"/>
        <w:jc w:val="both"/>
        <w:rPr>
          <w:rFonts w:cs="Arial"/>
          <w:sz w:val="22"/>
          <w:szCs w:val="22"/>
        </w:rPr>
      </w:pPr>
      <w:r w:rsidRPr="001955C0">
        <w:rPr>
          <w:rFonts w:cs="Arial"/>
          <w:sz w:val="22"/>
          <w:szCs w:val="22"/>
        </w:rPr>
        <w:t>pojazd fabrycznie nowy - jego wartość nie ulega zmianie przez sześć miesięcy od daty wystawienia faktury,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after="0" w:line="276" w:lineRule="auto"/>
        <w:jc w:val="both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przedmiot ubezpieczenia: pojazd podlegający, stosownie do przepisów ustawy "Prawo o ruchu drogowym" rejestracji w RP, stanowiący własność Ubezpieczającego; suma ubezpieczenia pojazdu zawiera także wartość wyposażenia podstawowego, dodatkowego i specjalistycznego; wyposażeniem podstawowym są wszelkie urządzenia i sprzęt zainstalowane w pojeździe, służące do utrzymania i używania pojazdu zgodnie z jego przeznaczeniem, służące bezpieczeństwu jazdy oraz zabezpieczeniu pojazdu przed kradzieżą, a także zamontowane jako wyposażenie w chwili zakupu,</w:t>
      </w:r>
    </w:p>
    <w:p w:rsidR="00571469" w:rsidRPr="00836388" w:rsidRDefault="00571469" w:rsidP="0057146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cs="Arial"/>
          <w:sz w:val="22"/>
          <w:szCs w:val="22"/>
        </w:rPr>
      </w:pPr>
      <w:r w:rsidRPr="00836388">
        <w:rPr>
          <w:rFonts w:cs="Arial"/>
          <w:sz w:val="22"/>
          <w:szCs w:val="22"/>
        </w:rPr>
        <w:t>zakres ubezpieczenia obejmuje również szkody w wyniku: uszkodzenia silnika ubezpieczonego pojazdu wskutek zassania wody przez pracujący silnik oraz  uszkodzenia pojazdu odpadami przemysłowymi albo zanieczyszczeniami emitowanymi do otoczenia,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before="120" w:after="0" w:line="276" w:lineRule="auto"/>
        <w:jc w:val="both"/>
        <w:rPr>
          <w:rFonts w:cs="Arial"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 xml:space="preserve">likwidacja szkody – </w:t>
      </w:r>
      <w:r w:rsidRPr="00AD77CB">
        <w:rPr>
          <w:rFonts w:cs="Arial"/>
          <w:sz w:val="22"/>
          <w:szCs w:val="22"/>
        </w:rPr>
        <w:t>naprawa poprzez wyspecjalizowane warsztaty naprawcze na podstawie rozliczenia bezgotówkowego pomiędzy warsztatem a Ubezpieczycielem przy zastosowaniu części zamiennych sugerowanych przez generalnych importerów tych części i stosowanych przez Autoryzowane Stacje Obsługi danej marki; w przypadku braku takiej naprawy rozliczenie kosztorysowe,</w:t>
      </w:r>
    </w:p>
    <w:p w:rsidR="00571469" w:rsidRPr="00AD77CB" w:rsidRDefault="00571469" w:rsidP="00571469">
      <w:pPr>
        <w:pStyle w:val="Styl1"/>
        <w:numPr>
          <w:ilvl w:val="0"/>
          <w:numId w:val="3"/>
        </w:numPr>
        <w:tabs>
          <w:tab w:val="clear" w:pos="0"/>
        </w:tabs>
        <w:spacing w:before="0" w:after="0" w:line="276" w:lineRule="auto"/>
        <w:ind w:hanging="357"/>
        <w:rPr>
          <w:rFonts w:cs="Arial"/>
          <w:szCs w:val="22"/>
        </w:rPr>
      </w:pPr>
      <w:r w:rsidRPr="00AD77CB">
        <w:rPr>
          <w:rFonts w:cs="Arial"/>
          <w:szCs w:val="22"/>
        </w:rPr>
        <w:t>kosztorys będzie sporządzany w oparciu o programy komputerowe „</w:t>
      </w:r>
      <w:proofErr w:type="spellStart"/>
      <w:r w:rsidRPr="00AD77CB">
        <w:rPr>
          <w:rFonts w:cs="Arial"/>
          <w:szCs w:val="22"/>
        </w:rPr>
        <w:t>Eurotax</w:t>
      </w:r>
      <w:proofErr w:type="spellEnd"/>
      <w:r w:rsidRPr="00AD77CB">
        <w:rPr>
          <w:rFonts w:cs="Arial"/>
          <w:szCs w:val="22"/>
        </w:rPr>
        <w:t>”, „</w:t>
      </w:r>
      <w:proofErr w:type="spellStart"/>
      <w:r w:rsidRPr="00AD77CB">
        <w:rPr>
          <w:rFonts w:cs="Arial"/>
          <w:szCs w:val="22"/>
        </w:rPr>
        <w:t>Audatex</w:t>
      </w:r>
      <w:proofErr w:type="spellEnd"/>
      <w:r w:rsidRPr="00AD77CB">
        <w:rPr>
          <w:rFonts w:cs="Arial"/>
          <w:szCs w:val="22"/>
        </w:rPr>
        <w:t xml:space="preserve">”, „Info Ekspert” uwzględniające normy czasu napraw ustalone przez producentów danej marki oraz ceny części zamiennych sugerowane przez </w:t>
      </w:r>
      <w:r w:rsidRPr="00AD77CB">
        <w:rPr>
          <w:rFonts w:cs="Arial"/>
          <w:szCs w:val="22"/>
        </w:rPr>
        <w:lastRenderedPageBreak/>
        <w:t>generalnych importerów tych części i stosowane przez Autoryzowane Stacje Obsługi danej marki na terenie RP; cena roboczogodziny ustalana jest w oparciu o średnie ceny występujące w zakładach blacharsko-lakierniczych na danym terenie,</w:t>
      </w:r>
    </w:p>
    <w:p w:rsidR="00571469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after="0" w:line="276" w:lineRule="auto"/>
        <w:ind w:hanging="357"/>
        <w:jc w:val="both"/>
        <w:rPr>
          <w:rFonts w:cs="Arial"/>
          <w:sz w:val="22"/>
          <w:szCs w:val="22"/>
        </w:rPr>
      </w:pPr>
      <w:r w:rsidRPr="001F5522">
        <w:rPr>
          <w:rFonts w:cs="Arial"/>
          <w:sz w:val="22"/>
          <w:szCs w:val="22"/>
        </w:rPr>
        <w:t>w przypadku kwalifikacji przez Ubezpieczyciela szkody jako szkody całkowitej, Zamawiający może sprzedać pozostałości po szkodzie, zgodnie z obowiązującymi ten podmiot przepisami dotyczącymi zbywania środków trwałych, za najwyższą cenę oferowaną przez nabywcę. W przypadku różnicy pomiędzy ceną sprzedaży pozostałości, a kalkulacją dokonaną przez Ubezpieczyciela, Ubezpieczyciel zobowiązany jest do pokrycia różnicy,</w:t>
      </w:r>
    </w:p>
    <w:p w:rsidR="00571469" w:rsidRPr="00AD77CB" w:rsidRDefault="00571469" w:rsidP="00571469">
      <w:pPr>
        <w:numPr>
          <w:ilvl w:val="0"/>
          <w:numId w:val="3"/>
        </w:numPr>
        <w:spacing w:after="0" w:line="276" w:lineRule="auto"/>
        <w:jc w:val="both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Ubezpieczyciel pokryje koszty obowiązkowego badania technicznego, wykonywanego w związku ze szkodą w zakresie elementów układu nośnego, hamulcowego lub kierowniczego mających wpływ na bezpieczeństwo ruchu drogowego, za którą uprzednio przyjął on odpowiedzialność.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ind w:left="708"/>
        <w:rPr>
          <w:rFonts w:cs="Arial"/>
          <w:sz w:val="22"/>
          <w:szCs w:val="22"/>
        </w:rPr>
      </w:pPr>
    </w:p>
    <w:p w:rsidR="00571469" w:rsidRPr="00B90A95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after="0" w:line="276" w:lineRule="auto"/>
        <w:jc w:val="both"/>
        <w:rPr>
          <w:rFonts w:cs="Arial"/>
          <w:b/>
          <w:sz w:val="24"/>
          <w:szCs w:val="22"/>
          <w:u w:val="single"/>
        </w:rPr>
      </w:pPr>
      <w:r w:rsidRPr="00B90A95">
        <w:rPr>
          <w:rFonts w:cs="Arial"/>
          <w:b/>
          <w:sz w:val="24"/>
          <w:szCs w:val="22"/>
          <w:u w:val="single"/>
        </w:rPr>
        <w:t xml:space="preserve">Assistance wariant rozszerzony </w:t>
      </w:r>
    </w:p>
    <w:p w:rsidR="00571469" w:rsidRDefault="00571469" w:rsidP="00571469">
      <w:pPr>
        <w:pStyle w:val="Akapitzlist"/>
        <w:numPr>
          <w:ilvl w:val="0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/>
          <w:sz w:val="24"/>
          <w:szCs w:val="22"/>
        </w:rPr>
        <w:t xml:space="preserve">zakres terytorialny </w:t>
      </w:r>
      <w:proofErr w:type="spellStart"/>
      <w:r w:rsidRPr="00B90A95">
        <w:rPr>
          <w:rFonts w:cs="Arial"/>
          <w:b/>
          <w:sz w:val="24"/>
          <w:szCs w:val="22"/>
        </w:rPr>
        <w:t>assitance</w:t>
      </w:r>
      <w:proofErr w:type="spellEnd"/>
      <w:r w:rsidRPr="00B90A95">
        <w:rPr>
          <w:rFonts w:cs="Arial"/>
          <w:b/>
          <w:sz w:val="24"/>
          <w:szCs w:val="22"/>
        </w:rPr>
        <w:t xml:space="preserve"> </w:t>
      </w:r>
      <w:r>
        <w:rPr>
          <w:rFonts w:cs="Arial"/>
          <w:sz w:val="24"/>
          <w:szCs w:val="22"/>
        </w:rPr>
        <w:t>–</w:t>
      </w:r>
      <w:r w:rsidRPr="00B90A95">
        <w:rPr>
          <w:rFonts w:cs="Arial"/>
          <w:sz w:val="24"/>
          <w:szCs w:val="22"/>
        </w:rPr>
        <w:t xml:space="preserve"> Europa</w:t>
      </w:r>
    </w:p>
    <w:p w:rsidR="00571469" w:rsidRPr="00B90A95" w:rsidRDefault="00571469" w:rsidP="00571469">
      <w:pPr>
        <w:pStyle w:val="Akapitzlist"/>
        <w:tabs>
          <w:tab w:val="left" w:pos="3405"/>
        </w:tabs>
        <w:spacing w:after="0" w:line="276" w:lineRule="auto"/>
        <w:ind w:left="1395"/>
        <w:rPr>
          <w:rFonts w:cs="Arial"/>
          <w:sz w:val="24"/>
          <w:szCs w:val="22"/>
        </w:rPr>
      </w:pPr>
    </w:p>
    <w:p w:rsidR="00571469" w:rsidRPr="00B90A95" w:rsidRDefault="00571469" w:rsidP="00571469">
      <w:pPr>
        <w:pStyle w:val="Akapitzlist"/>
        <w:numPr>
          <w:ilvl w:val="0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/>
          <w:bCs/>
          <w:sz w:val="22"/>
          <w:szCs w:val="20"/>
        </w:rPr>
        <w:t xml:space="preserve">Przedmiot ochrony: </w:t>
      </w:r>
      <w:r w:rsidRPr="00B90A95">
        <w:rPr>
          <w:rFonts w:cs="Arial"/>
          <w:sz w:val="22"/>
          <w:szCs w:val="20"/>
        </w:rPr>
        <w:t>organizacja i pokrycie kosztów pomocy technicznej udzielonej osobom podróżującym pojazdem wskutek: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Wypadku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Awarii pojazdu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Kradzieży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Rozładowanie akumulatora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Uszkodzenie ogumienia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Użycie niewłaściwego paliwa, brak paliwa lub jego zamarznięcie</w:t>
      </w:r>
    </w:p>
    <w:p w:rsidR="00571469" w:rsidRPr="00B90A95" w:rsidRDefault="00571469" w:rsidP="00571469">
      <w:pPr>
        <w:pStyle w:val="Akapitzlist"/>
        <w:tabs>
          <w:tab w:val="left" w:pos="3405"/>
        </w:tabs>
        <w:spacing w:after="0" w:line="276" w:lineRule="auto"/>
        <w:ind w:left="2115"/>
        <w:rPr>
          <w:rFonts w:cs="Arial"/>
          <w:sz w:val="24"/>
          <w:szCs w:val="22"/>
        </w:rPr>
      </w:pPr>
    </w:p>
    <w:p w:rsidR="00571469" w:rsidRPr="00B90A95" w:rsidRDefault="00571469" w:rsidP="00571469">
      <w:pPr>
        <w:pStyle w:val="Akapitzlist"/>
        <w:numPr>
          <w:ilvl w:val="0"/>
          <w:numId w:val="8"/>
        </w:numPr>
        <w:shd w:val="clear" w:color="auto" w:fill="FFFFFF"/>
        <w:spacing w:line="276" w:lineRule="auto"/>
        <w:jc w:val="both"/>
        <w:rPr>
          <w:rFonts w:cs="Arial"/>
          <w:b/>
          <w:bCs/>
          <w:sz w:val="22"/>
          <w:szCs w:val="20"/>
        </w:rPr>
      </w:pPr>
      <w:r w:rsidRPr="00B90A95">
        <w:rPr>
          <w:rFonts w:cs="Arial"/>
          <w:b/>
          <w:bCs/>
          <w:sz w:val="22"/>
          <w:szCs w:val="20"/>
        </w:rPr>
        <w:t>Zakres ochrony: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Zakres terytorialny obejmuje zdarzenia powstałe na obszarze tożsamym ze wskazanym w ubezpieczeniu autocasco.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bCs/>
          <w:sz w:val="22"/>
          <w:szCs w:val="20"/>
        </w:rPr>
      </w:pPr>
      <w:r w:rsidRPr="00B90A95">
        <w:rPr>
          <w:rFonts w:cs="Arial"/>
          <w:bCs/>
          <w:sz w:val="22"/>
          <w:szCs w:val="20"/>
        </w:rPr>
        <w:t>Brak limitu odległości miejsca zdarzenia od siedziby Ubezpieczonego (brak franszyzy kilome</w:t>
      </w:r>
      <w:r>
        <w:rPr>
          <w:rFonts w:cs="Arial"/>
          <w:bCs/>
          <w:sz w:val="22"/>
          <w:szCs w:val="20"/>
        </w:rPr>
        <w:t>t</w:t>
      </w:r>
      <w:r w:rsidRPr="00B90A95">
        <w:rPr>
          <w:rFonts w:cs="Arial"/>
          <w:bCs/>
          <w:sz w:val="22"/>
          <w:szCs w:val="20"/>
        </w:rPr>
        <w:t>rowej)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bCs/>
          <w:sz w:val="22"/>
          <w:szCs w:val="20"/>
        </w:rPr>
      </w:pPr>
      <w:r w:rsidRPr="00B90A95">
        <w:rPr>
          <w:rFonts w:cs="Arial"/>
          <w:bCs/>
          <w:sz w:val="22"/>
          <w:szCs w:val="20"/>
        </w:rPr>
        <w:t>Usprawnienie pojazdu na miejscu zdarzenia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bCs/>
          <w:sz w:val="22"/>
          <w:szCs w:val="20"/>
        </w:rPr>
      </w:pPr>
      <w:r w:rsidRPr="00B90A95">
        <w:rPr>
          <w:rFonts w:cs="Arial"/>
          <w:bCs/>
          <w:sz w:val="22"/>
          <w:szCs w:val="20"/>
        </w:rPr>
        <w:t>Holowanie ubezpieczonego pojazdu na odległość nie mniejszą niż 400 km</w:t>
      </w:r>
    </w:p>
    <w:p w:rsidR="00571469" w:rsidRPr="00836388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trike/>
          <w:sz w:val="22"/>
          <w:szCs w:val="20"/>
        </w:rPr>
      </w:pPr>
      <w:r w:rsidRPr="00836388">
        <w:rPr>
          <w:rFonts w:cs="Arial"/>
          <w:sz w:val="22"/>
          <w:szCs w:val="20"/>
        </w:rPr>
        <w:t>Organizacja parkingu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Zakwaterowanie w hotelu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  <w:u w:val="single"/>
        </w:rPr>
      </w:pPr>
      <w:r w:rsidRPr="00B90A95">
        <w:rPr>
          <w:rFonts w:cs="Arial"/>
          <w:sz w:val="22"/>
          <w:szCs w:val="20"/>
          <w:u w:val="single"/>
        </w:rPr>
        <w:t>Pojazd zastępczy</w:t>
      </w:r>
    </w:p>
    <w:p w:rsidR="00571469" w:rsidRPr="00B90A95" w:rsidRDefault="00571469" w:rsidP="00571469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po wypadku</w:t>
      </w:r>
    </w:p>
    <w:p w:rsidR="00571469" w:rsidRPr="00B90A95" w:rsidRDefault="00571469" w:rsidP="00571469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po kradzieży</w:t>
      </w:r>
    </w:p>
    <w:p w:rsidR="00571469" w:rsidRPr="00B90A95" w:rsidRDefault="0004772B" w:rsidP="00571469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>
        <w:rPr>
          <w:rFonts w:cs="Arial"/>
          <w:sz w:val="22"/>
          <w:szCs w:val="20"/>
        </w:rPr>
        <w:t>po awarii</w:t>
      </w:r>
      <w:bookmarkStart w:id="0" w:name="_GoBack"/>
      <w:bookmarkEnd w:id="0"/>
    </w:p>
    <w:p w:rsidR="00571469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Pr="00AD77CB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Pr="007E6F30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before="120" w:line="276" w:lineRule="auto"/>
        <w:rPr>
          <w:rFonts w:cs="Arial"/>
          <w:b/>
          <w:sz w:val="22"/>
          <w:szCs w:val="22"/>
          <w:u w:val="single"/>
        </w:rPr>
      </w:pPr>
      <w:r w:rsidRPr="007E6F30">
        <w:rPr>
          <w:rFonts w:cs="Arial"/>
          <w:b/>
          <w:sz w:val="22"/>
          <w:szCs w:val="22"/>
          <w:u w:val="single"/>
        </w:rPr>
        <w:lastRenderedPageBreak/>
        <w:t>NNW kierowców i pasażerów</w:t>
      </w:r>
    </w:p>
    <w:p w:rsidR="00571469" w:rsidRPr="00AD77CB" w:rsidRDefault="00571469" w:rsidP="00571469">
      <w:pPr>
        <w:spacing w:line="276" w:lineRule="auto"/>
        <w:ind w:left="1080"/>
        <w:jc w:val="both"/>
        <w:rPr>
          <w:rFonts w:cs="Arial"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Zakres ubezpieczenia</w:t>
      </w:r>
      <w:r w:rsidRPr="00AD77CB">
        <w:rPr>
          <w:rFonts w:cs="Arial"/>
          <w:sz w:val="22"/>
          <w:szCs w:val="22"/>
        </w:rPr>
        <w:t>: następstwa nieszczęśliwych wypadków kierowców i pasażerów (śmierć na skutek wypadku, uszkodzenia ciała i rozstrój zdrowia) związane z:</w:t>
      </w:r>
    </w:p>
    <w:p w:rsidR="00571469" w:rsidRPr="00AD77CB" w:rsidRDefault="00571469" w:rsidP="00571469">
      <w:pPr>
        <w:numPr>
          <w:ilvl w:val="0"/>
          <w:numId w:val="2"/>
        </w:numPr>
        <w:tabs>
          <w:tab w:val="clear" w:pos="1004"/>
          <w:tab w:val="num" w:pos="1375"/>
        </w:tabs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ruchem pojazdu,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wsiadania i wysiadania z pojazdu,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przebywania w pojeździe w przypadku zatrzymania pojazdu,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postoju lub naprawy pojazdu na trasie,</w:t>
      </w:r>
    </w:p>
    <w:p w:rsidR="00571469" w:rsidRPr="00AD77CB" w:rsidRDefault="00571469" w:rsidP="00571469">
      <w:pPr>
        <w:numPr>
          <w:ilvl w:val="0"/>
          <w:numId w:val="2"/>
        </w:numPr>
        <w:tabs>
          <w:tab w:val="clear" w:pos="1004"/>
        </w:tabs>
        <w:spacing w:after="0" w:line="276" w:lineRule="auto"/>
        <w:ind w:left="1418" w:hanging="338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przy załadunku i rozładunku pojazdu bądź przyczepy (naczepy) zespolonej z pojazdem,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holowania.</w:t>
      </w:r>
    </w:p>
    <w:p w:rsidR="00571469" w:rsidRPr="00AD77CB" w:rsidRDefault="00571469" w:rsidP="00571469">
      <w:pPr>
        <w:spacing w:line="276" w:lineRule="auto"/>
        <w:ind w:left="1080"/>
        <w:rPr>
          <w:rFonts w:cs="Arial"/>
          <w:b/>
          <w:sz w:val="22"/>
          <w:szCs w:val="22"/>
        </w:rPr>
      </w:pPr>
      <w:r w:rsidRPr="00AD77CB">
        <w:rPr>
          <w:rFonts w:cs="Arial"/>
          <w:sz w:val="22"/>
          <w:szCs w:val="22"/>
        </w:rPr>
        <w:t xml:space="preserve">Ubezpieczenie </w:t>
      </w:r>
      <w:r w:rsidRPr="00AD77CB">
        <w:rPr>
          <w:rFonts w:cs="Arial"/>
          <w:b/>
          <w:sz w:val="22"/>
          <w:szCs w:val="22"/>
        </w:rPr>
        <w:t>bezimienne, systemem miejsc.</w:t>
      </w:r>
    </w:p>
    <w:p w:rsidR="00571469" w:rsidRPr="00AD77CB" w:rsidRDefault="00571469" w:rsidP="00571469">
      <w:pPr>
        <w:spacing w:line="276" w:lineRule="auto"/>
        <w:ind w:left="1080"/>
        <w:jc w:val="both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Wysokość świadczenia z tytułu śmierci w wyniku nieszczęśliwego wypadku wynosi 100% sumy ubezpieczenia. W przypadku trwałego uszczerbku na zdrowiu świadczenie wypłacane będzie w wysokości 1% sumy ubezpieczenia, za każdy procent trwałego uszczerbku na zdrowiu.</w:t>
      </w:r>
    </w:p>
    <w:p w:rsidR="00571469" w:rsidRPr="00AD77CB" w:rsidRDefault="00571469" w:rsidP="00571469">
      <w:pPr>
        <w:spacing w:line="276" w:lineRule="auto"/>
        <w:ind w:left="108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Suma ubezpieczenia na miejsce</w:t>
      </w:r>
      <w:r w:rsidRPr="00AD77CB">
        <w:rPr>
          <w:rFonts w:cs="Arial"/>
          <w:b/>
          <w:sz w:val="22"/>
          <w:szCs w:val="22"/>
        </w:rPr>
        <w:t xml:space="preserve"> - 10 000,00 zł</w:t>
      </w:r>
      <w:r w:rsidRPr="00AD77CB">
        <w:rPr>
          <w:rFonts w:cs="Arial"/>
          <w:sz w:val="22"/>
          <w:szCs w:val="22"/>
        </w:rPr>
        <w:t>,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ind w:left="108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Liczba miejsc –</w:t>
      </w:r>
      <w:r>
        <w:rPr>
          <w:rFonts w:cs="Arial"/>
          <w:sz w:val="22"/>
          <w:szCs w:val="22"/>
        </w:rPr>
        <w:t xml:space="preserve"> 8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ind w:left="1080"/>
        <w:rPr>
          <w:rFonts w:cs="Arial"/>
          <w:b/>
          <w:sz w:val="22"/>
          <w:szCs w:val="22"/>
        </w:rPr>
      </w:pPr>
      <w:r w:rsidRPr="00AD77CB">
        <w:rPr>
          <w:rFonts w:cs="Arial"/>
          <w:sz w:val="22"/>
          <w:szCs w:val="22"/>
        </w:rPr>
        <w:t>Franszyza: brak</w:t>
      </w:r>
    </w:p>
    <w:p w:rsidR="00571469" w:rsidRPr="00AD77CB" w:rsidRDefault="00571469" w:rsidP="00571469">
      <w:pPr>
        <w:tabs>
          <w:tab w:val="left" w:pos="3405"/>
        </w:tabs>
        <w:spacing w:line="276" w:lineRule="auto"/>
        <w:jc w:val="both"/>
        <w:rPr>
          <w:rFonts w:cs="Arial"/>
          <w:sz w:val="22"/>
          <w:szCs w:val="22"/>
        </w:rPr>
      </w:pPr>
    </w:p>
    <w:p w:rsidR="00571469" w:rsidRPr="00AD77CB" w:rsidRDefault="00571469" w:rsidP="00571469">
      <w:pPr>
        <w:autoSpaceDE w:val="0"/>
        <w:autoSpaceDN w:val="0"/>
        <w:adjustRightInd w:val="0"/>
        <w:spacing w:after="0" w:line="276" w:lineRule="auto"/>
        <w:rPr>
          <w:rFonts w:eastAsiaTheme="minorHAnsi" w:cs="Arial"/>
          <w:b/>
          <w:bCs/>
          <w:sz w:val="22"/>
          <w:szCs w:val="22"/>
          <w:u w:val="single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u w:val="single"/>
          <w:lang w:eastAsia="en-US"/>
        </w:rPr>
        <w:t>Klauzule dodatkowe obligatoryjne</w:t>
      </w:r>
    </w:p>
    <w:p w:rsidR="00571469" w:rsidRPr="00AD77CB" w:rsidRDefault="00571469" w:rsidP="00571469">
      <w:pPr>
        <w:autoSpaceDE w:val="0"/>
        <w:autoSpaceDN w:val="0"/>
        <w:adjustRightInd w:val="0"/>
        <w:spacing w:after="0" w:line="276" w:lineRule="auto"/>
        <w:rPr>
          <w:rFonts w:eastAsiaTheme="minorHAnsi" w:cs="Arial"/>
          <w:color w:val="000000"/>
          <w:sz w:val="22"/>
          <w:szCs w:val="22"/>
          <w:u w:val="single"/>
          <w:lang w:eastAsia="en-US"/>
        </w:rPr>
      </w:pPr>
    </w:p>
    <w:p w:rsidR="00571469" w:rsidRPr="00AD77CB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stempla pocztowego lub bankowego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- za dzień zapłaty składki Ubezpieczyciel uznaje dzień złożenia zlecenia przelewu kwoty należnej składki lub raty składki w banku lub urzędzie pocztowym. Dotyczy wszystkich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ryzyk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>.</w:t>
      </w:r>
    </w:p>
    <w:p w:rsidR="00571469" w:rsidRPr="00AD77CB" w:rsidRDefault="00571469" w:rsidP="00571469">
      <w:pPr>
        <w:pStyle w:val="Akapitzlist"/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</w:p>
    <w:p w:rsidR="00571469" w:rsidRPr="00AD77CB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czasu ochrony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- materialny początek ochrony ubezpieczeniowej rozpoczyna się w dniu wskazanym w polisie jako początek okresu ubezpieczenia, mimo opłacenia składki lub jej pierwszej raty w terminie późniejszym. Dotyczy wszystkich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ryzyk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>.</w:t>
      </w:r>
    </w:p>
    <w:p w:rsidR="00571469" w:rsidRPr="00AD77CB" w:rsidRDefault="00571469" w:rsidP="00571469">
      <w:pPr>
        <w:pStyle w:val="Akapitzlist"/>
        <w:spacing w:line="276" w:lineRule="auto"/>
        <w:rPr>
          <w:rFonts w:eastAsiaTheme="minorHAnsi" w:cs="Arial"/>
          <w:sz w:val="22"/>
          <w:szCs w:val="22"/>
          <w:lang w:eastAsia="en-US"/>
        </w:rPr>
      </w:pPr>
    </w:p>
    <w:p w:rsidR="00571469" w:rsidRPr="00AD77CB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prolongaty zapłaty składki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– brak wpłaty przez Ubezpieczającego składki, bądź którejkolwiek z rat w terminie przewidzianym w umowie ubezpieczenia nie powoduje wygaśnięcia (rozwiązania) umowy ubezpieczenia, ani zawieszenia udzielanej ochrony ubezpieczeniowej. W takiej sytuacji Ubezpieczyciel zobowiązany jest przesłać pismo do Ubezpieczającego wyznaczając dodatkowy 14 dniowy termin zapłaty składki. W przypadku nie dokonania wpłaty na konto Ubezpieczyciela w wyznaczonym terminie, Ubezpieczyciel może wypowiedzieć umowę ubezpieczenia ze skutkiem natychmiastowym. Dotyczy wszystkich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ryzyk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 xml:space="preserve"> z wyjątkiem ubezpieczenia odpowiedzialności cywilnej posiadacza pojazdu.</w:t>
      </w:r>
    </w:p>
    <w:p w:rsidR="00571469" w:rsidRPr="00AD77CB" w:rsidRDefault="00571469" w:rsidP="00571469">
      <w:pPr>
        <w:pStyle w:val="Akapitzlist"/>
        <w:spacing w:line="276" w:lineRule="auto"/>
        <w:jc w:val="both"/>
        <w:rPr>
          <w:rFonts w:eastAsiaTheme="minorHAnsi" w:cs="Arial"/>
          <w:sz w:val="22"/>
          <w:szCs w:val="22"/>
          <w:lang w:eastAsia="en-US"/>
        </w:rPr>
      </w:pPr>
    </w:p>
    <w:p w:rsidR="00571469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zabezpieczeń </w:t>
      </w:r>
      <w:proofErr w:type="spellStart"/>
      <w:r w:rsidRPr="00AD77CB">
        <w:rPr>
          <w:rFonts w:eastAsiaTheme="minorHAnsi" w:cs="Arial"/>
          <w:b/>
          <w:bCs/>
          <w:sz w:val="22"/>
          <w:szCs w:val="22"/>
          <w:lang w:eastAsia="en-US"/>
        </w:rPr>
        <w:t>przeciwkradzieżowych</w:t>
      </w:r>
      <w:proofErr w:type="spellEnd"/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– Ubezpieczyciel oświadcza, że istniejące zabezpieczenia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przeciwkradzieżowe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 xml:space="preserve"> pojazdu, przedstawione w załączniku </w:t>
      </w:r>
      <w:r>
        <w:rPr>
          <w:rFonts w:eastAsiaTheme="minorHAnsi" w:cs="Arial"/>
          <w:sz w:val="22"/>
          <w:szCs w:val="22"/>
          <w:lang w:eastAsia="en-US"/>
        </w:rPr>
        <w:t xml:space="preserve">nr 3.1. </w:t>
      </w:r>
      <w:r w:rsidRPr="00AD77CB">
        <w:rPr>
          <w:rFonts w:eastAsiaTheme="minorHAnsi" w:cs="Arial"/>
          <w:sz w:val="22"/>
          <w:szCs w:val="22"/>
          <w:lang w:eastAsia="en-US"/>
        </w:rPr>
        <w:t>z danymi pojazdu, uznaje za wystarczające. Dotyczy ubezpieczenia autocasco.</w:t>
      </w:r>
    </w:p>
    <w:p w:rsidR="005E3BDF" w:rsidRDefault="005E3BDF"/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FE2DB1"/>
    <w:multiLevelType w:val="multilevel"/>
    <w:tmpl w:val="A3E61B62"/>
    <w:lvl w:ilvl="0">
      <w:start w:val="1"/>
      <w:numFmt w:val="decimal"/>
      <w:pStyle w:val="Holdingpodstawowy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pStyle w:val="Tekstpodstawowyb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D7768"/>
    <w:multiLevelType w:val="hybridMultilevel"/>
    <w:tmpl w:val="676C162A"/>
    <w:lvl w:ilvl="0" w:tplc="0415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abstractNum w:abstractNumId="2" w15:restartNumberingAfterBreak="0">
    <w:nsid w:val="1C773861"/>
    <w:multiLevelType w:val="hybridMultilevel"/>
    <w:tmpl w:val="5F969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B5235D"/>
    <w:multiLevelType w:val="hybridMultilevel"/>
    <w:tmpl w:val="D8BC3F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3133A3"/>
    <w:multiLevelType w:val="hybridMultilevel"/>
    <w:tmpl w:val="04BE648E"/>
    <w:lvl w:ilvl="0" w:tplc="C222147C">
      <w:start w:val="1"/>
      <w:numFmt w:val="bullet"/>
      <w:lvlText w:val=""/>
      <w:lvlJc w:val="left"/>
      <w:pPr>
        <w:ind w:left="1395" w:hanging="360"/>
      </w:pPr>
      <w:rPr>
        <w:rFonts w:ascii="Wingdings" w:hAnsi="Wingdings" w:hint="default"/>
        <w:color w:val="auto"/>
      </w:rPr>
    </w:lvl>
    <w:lvl w:ilvl="1" w:tplc="04150001">
      <w:start w:val="1"/>
      <w:numFmt w:val="bullet"/>
      <w:lvlText w:val=""/>
      <w:lvlJc w:val="left"/>
      <w:pPr>
        <w:ind w:left="2115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5" w15:restartNumberingAfterBreak="0">
    <w:nsid w:val="645563D9"/>
    <w:multiLevelType w:val="hybridMultilevel"/>
    <w:tmpl w:val="5DA609D4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D010BC5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6F3C2C7F"/>
    <w:multiLevelType w:val="hybridMultilevel"/>
    <w:tmpl w:val="69EE682E"/>
    <w:lvl w:ilvl="0" w:tplc="0415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FE3181B"/>
    <w:multiLevelType w:val="hybridMultilevel"/>
    <w:tmpl w:val="056EB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990A99"/>
    <w:multiLevelType w:val="hybridMultilevel"/>
    <w:tmpl w:val="BDE8F73A"/>
    <w:lvl w:ilvl="0" w:tplc="65EEEE0A">
      <w:start w:val="1"/>
      <w:numFmt w:val="lowerLetter"/>
      <w:lvlText w:val="%1)"/>
      <w:lvlJc w:val="left"/>
      <w:pPr>
        <w:ind w:left="24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95" w:hanging="360"/>
      </w:pPr>
    </w:lvl>
    <w:lvl w:ilvl="2" w:tplc="0415001B" w:tentative="1">
      <w:start w:val="1"/>
      <w:numFmt w:val="lowerRoman"/>
      <w:lvlText w:val="%3."/>
      <w:lvlJc w:val="right"/>
      <w:pPr>
        <w:ind w:left="3915" w:hanging="180"/>
      </w:pPr>
    </w:lvl>
    <w:lvl w:ilvl="3" w:tplc="0415000F" w:tentative="1">
      <w:start w:val="1"/>
      <w:numFmt w:val="decimal"/>
      <w:lvlText w:val="%4."/>
      <w:lvlJc w:val="left"/>
      <w:pPr>
        <w:ind w:left="4635" w:hanging="360"/>
      </w:pPr>
    </w:lvl>
    <w:lvl w:ilvl="4" w:tplc="04150019" w:tentative="1">
      <w:start w:val="1"/>
      <w:numFmt w:val="lowerLetter"/>
      <w:lvlText w:val="%5."/>
      <w:lvlJc w:val="left"/>
      <w:pPr>
        <w:ind w:left="5355" w:hanging="360"/>
      </w:pPr>
    </w:lvl>
    <w:lvl w:ilvl="5" w:tplc="0415001B" w:tentative="1">
      <w:start w:val="1"/>
      <w:numFmt w:val="lowerRoman"/>
      <w:lvlText w:val="%6."/>
      <w:lvlJc w:val="right"/>
      <w:pPr>
        <w:ind w:left="6075" w:hanging="180"/>
      </w:pPr>
    </w:lvl>
    <w:lvl w:ilvl="6" w:tplc="0415000F" w:tentative="1">
      <w:start w:val="1"/>
      <w:numFmt w:val="decimal"/>
      <w:lvlText w:val="%7."/>
      <w:lvlJc w:val="left"/>
      <w:pPr>
        <w:ind w:left="6795" w:hanging="360"/>
      </w:pPr>
    </w:lvl>
    <w:lvl w:ilvl="7" w:tplc="04150019" w:tentative="1">
      <w:start w:val="1"/>
      <w:numFmt w:val="lowerLetter"/>
      <w:lvlText w:val="%8."/>
      <w:lvlJc w:val="left"/>
      <w:pPr>
        <w:ind w:left="7515" w:hanging="360"/>
      </w:pPr>
    </w:lvl>
    <w:lvl w:ilvl="8" w:tplc="0415001B" w:tentative="1">
      <w:start w:val="1"/>
      <w:numFmt w:val="lowerRoman"/>
      <w:lvlText w:val="%9."/>
      <w:lvlJc w:val="right"/>
      <w:pPr>
        <w:ind w:left="8235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8"/>
  </w:num>
  <w:num w:numId="8">
    <w:abstractNumId w:val="4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673"/>
    <w:rsid w:val="0004772B"/>
    <w:rsid w:val="00330673"/>
    <w:rsid w:val="00571469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3F1EDB-491C-4C63-A5B2-C8AC6802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1469"/>
    <w:pPr>
      <w:spacing w:after="120" w:line="36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71469"/>
    <w:pPr>
      <w:keepNext/>
      <w:numPr>
        <w:numId w:val="1"/>
      </w:numPr>
      <w:spacing w:after="240"/>
      <w:outlineLvl w:val="0"/>
    </w:pPr>
    <w:rPr>
      <w:rFonts w:cs="Arial"/>
      <w:b/>
      <w:bCs/>
      <w:kern w:val="32"/>
      <w:szCs w:val="32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571469"/>
    <w:pPr>
      <w:keepNext/>
      <w:numPr>
        <w:ilvl w:val="1"/>
        <w:numId w:val="1"/>
      </w:numPr>
      <w:spacing w:after="240"/>
      <w:outlineLvl w:val="1"/>
    </w:pPr>
    <w:rPr>
      <w:rFonts w:cs="Arial"/>
      <w:b/>
      <w:bCs/>
      <w:iCs/>
      <w:kern w:val="32"/>
      <w:szCs w:val="28"/>
    </w:rPr>
  </w:style>
  <w:style w:type="paragraph" w:styleId="Nagwek3">
    <w:name w:val="heading 3"/>
    <w:basedOn w:val="Normalny"/>
    <w:next w:val="Normalny"/>
    <w:link w:val="Nagwek3Znak"/>
    <w:qFormat/>
    <w:rsid w:val="00571469"/>
    <w:pPr>
      <w:keepNext/>
      <w:numPr>
        <w:ilvl w:val="2"/>
        <w:numId w:val="1"/>
      </w:numPr>
      <w:spacing w:after="240"/>
      <w:outlineLvl w:val="2"/>
    </w:pPr>
    <w:rPr>
      <w:rFonts w:cs="Arial"/>
      <w:b/>
      <w:bCs/>
      <w:kern w:val="32"/>
      <w:szCs w:val="26"/>
    </w:rPr>
  </w:style>
  <w:style w:type="paragraph" w:styleId="Nagwek4">
    <w:name w:val="heading 4"/>
    <w:basedOn w:val="Normalny"/>
    <w:next w:val="Normalny"/>
    <w:link w:val="Nagwek4Znak"/>
    <w:qFormat/>
    <w:rsid w:val="00571469"/>
    <w:pPr>
      <w:keepNext/>
      <w:numPr>
        <w:ilvl w:val="3"/>
        <w:numId w:val="1"/>
      </w:numPr>
      <w:spacing w:after="240"/>
      <w:outlineLvl w:val="3"/>
    </w:pPr>
    <w:rPr>
      <w:b/>
      <w:bCs/>
      <w:kern w:val="32"/>
      <w:szCs w:val="28"/>
    </w:rPr>
  </w:style>
  <w:style w:type="paragraph" w:styleId="Nagwek5">
    <w:name w:val="heading 5"/>
    <w:basedOn w:val="Normalny"/>
    <w:next w:val="Normalny"/>
    <w:link w:val="Nagwek5Znak"/>
    <w:qFormat/>
    <w:rsid w:val="00571469"/>
    <w:pPr>
      <w:keepNext/>
      <w:numPr>
        <w:ilvl w:val="4"/>
        <w:numId w:val="1"/>
      </w:numPr>
      <w:spacing w:after="240"/>
      <w:outlineLvl w:val="4"/>
    </w:pPr>
    <w:rPr>
      <w:b/>
      <w:bCs/>
      <w:iCs/>
      <w:kern w:val="32"/>
      <w:szCs w:val="26"/>
    </w:rPr>
  </w:style>
  <w:style w:type="paragraph" w:styleId="Nagwek6">
    <w:name w:val="heading 6"/>
    <w:basedOn w:val="Normalny"/>
    <w:next w:val="Normalny"/>
    <w:link w:val="Nagwek6Znak"/>
    <w:qFormat/>
    <w:rsid w:val="00571469"/>
    <w:pPr>
      <w:keepNext/>
      <w:numPr>
        <w:ilvl w:val="5"/>
        <w:numId w:val="1"/>
      </w:numPr>
      <w:spacing w:after="240"/>
      <w:outlineLvl w:val="5"/>
    </w:pPr>
    <w:rPr>
      <w:b/>
      <w:bCs/>
      <w:kern w:val="32"/>
      <w:szCs w:val="22"/>
    </w:rPr>
  </w:style>
  <w:style w:type="paragraph" w:styleId="Nagwek7">
    <w:name w:val="heading 7"/>
    <w:basedOn w:val="Normalny"/>
    <w:next w:val="Normalny"/>
    <w:link w:val="Nagwek7Znak"/>
    <w:qFormat/>
    <w:rsid w:val="00571469"/>
    <w:pPr>
      <w:keepNext/>
      <w:numPr>
        <w:ilvl w:val="6"/>
        <w:numId w:val="1"/>
      </w:numPr>
      <w:spacing w:after="240"/>
      <w:outlineLvl w:val="6"/>
    </w:pPr>
    <w:rPr>
      <w:b/>
      <w:kern w:val="32"/>
    </w:rPr>
  </w:style>
  <w:style w:type="paragraph" w:styleId="Nagwek8">
    <w:name w:val="heading 8"/>
    <w:basedOn w:val="Normalny"/>
    <w:next w:val="Normalny"/>
    <w:link w:val="Nagwek8Znak"/>
    <w:qFormat/>
    <w:rsid w:val="00571469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Nagwek9">
    <w:name w:val="heading 9"/>
    <w:basedOn w:val="Normalny"/>
    <w:next w:val="Normalny"/>
    <w:link w:val="Nagwek9Znak"/>
    <w:qFormat/>
    <w:rsid w:val="00571469"/>
    <w:pPr>
      <w:keepNext/>
      <w:numPr>
        <w:ilvl w:val="8"/>
        <w:numId w:val="1"/>
      </w:numPr>
      <w:spacing w:before="240" w:after="240" w:line="240" w:lineRule="auto"/>
      <w:jc w:val="center"/>
      <w:outlineLvl w:val="8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71469"/>
    <w:rPr>
      <w:rFonts w:ascii="Arial" w:eastAsia="Times New Roman" w:hAnsi="Arial" w:cs="Arial"/>
      <w:b/>
      <w:bCs/>
      <w:kern w:val="32"/>
      <w:sz w:val="20"/>
      <w:szCs w:val="32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571469"/>
    <w:rPr>
      <w:rFonts w:ascii="Arial" w:eastAsia="Times New Roman" w:hAnsi="Arial" w:cs="Arial"/>
      <w:b/>
      <w:bCs/>
      <w:iCs/>
      <w:kern w:val="32"/>
      <w:sz w:val="20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71469"/>
    <w:rPr>
      <w:rFonts w:ascii="Arial" w:eastAsia="Times New Roman" w:hAnsi="Arial" w:cs="Arial"/>
      <w:b/>
      <w:bCs/>
      <w:kern w:val="32"/>
      <w:sz w:val="20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571469"/>
    <w:rPr>
      <w:rFonts w:ascii="Arial" w:eastAsia="Times New Roman" w:hAnsi="Arial" w:cs="Times New Roman"/>
      <w:b/>
      <w:bCs/>
      <w:kern w:val="32"/>
      <w:sz w:val="20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71469"/>
    <w:rPr>
      <w:rFonts w:ascii="Arial" w:eastAsia="Times New Roman" w:hAnsi="Arial" w:cs="Times New Roman"/>
      <w:b/>
      <w:bCs/>
      <w:iCs/>
      <w:kern w:val="32"/>
      <w:sz w:val="20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571469"/>
    <w:rPr>
      <w:rFonts w:ascii="Arial" w:eastAsia="Times New Roman" w:hAnsi="Arial" w:cs="Times New Roman"/>
      <w:b/>
      <w:bCs/>
      <w:kern w:val="32"/>
      <w:sz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571469"/>
    <w:rPr>
      <w:rFonts w:ascii="Arial" w:eastAsia="Times New Roman" w:hAnsi="Arial" w:cs="Times New Roman"/>
      <w:b/>
      <w:kern w:val="32"/>
      <w:sz w:val="20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71469"/>
    <w:rPr>
      <w:rFonts w:ascii="Arial" w:eastAsia="Times New Roman" w:hAnsi="Arial" w:cs="Times New Roman"/>
      <w:b/>
      <w:bCs/>
      <w:sz w:val="20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571469"/>
    <w:rPr>
      <w:rFonts w:ascii="Arial" w:eastAsia="Times New Roman" w:hAnsi="Arial" w:cs="Times New Roman"/>
      <w:sz w:val="28"/>
      <w:szCs w:val="24"/>
      <w:lang w:eastAsia="pl-PL"/>
    </w:rPr>
  </w:style>
  <w:style w:type="paragraph" w:customStyle="1" w:styleId="Tekstpodstawowy31">
    <w:name w:val="Tekst podstawowy 31"/>
    <w:basedOn w:val="Normalny"/>
    <w:rsid w:val="00571469"/>
    <w:pPr>
      <w:spacing w:after="0" w:line="240" w:lineRule="auto"/>
      <w:jc w:val="center"/>
    </w:pPr>
    <w:rPr>
      <w:b/>
      <w:sz w:val="48"/>
      <w:szCs w:val="20"/>
    </w:rPr>
  </w:style>
  <w:style w:type="paragraph" w:styleId="Tekstpodstawowy3">
    <w:name w:val="Body Text 3"/>
    <w:basedOn w:val="Normalny"/>
    <w:link w:val="Tekstpodstawowy3Znak"/>
    <w:rsid w:val="00571469"/>
    <w:rPr>
      <w:sz w:val="22"/>
    </w:rPr>
  </w:style>
  <w:style w:type="character" w:customStyle="1" w:styleId="Tekstpodstawowy3Znak">
    <w:name w:val="Tekst podstawowy 3 Znak"/>
    <w:basedOn w:val="Domylnaczcionkaakapitu"/>
    <w:link w:val="Tekstpodstawowy3"/>
    <w:rsid w:val="00571469"/>
    <w:rPr>
      <w:rFonts w:ascii="Arial" w:eastAsia="Times New Roman" w:hAnsi="Arial" w:cs="Times New Roman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571469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71469"/>
    <w:rPr>
      <w:rFonts w:ascii="Arial" w:eastAsia="Times New Roman" w:hAnsi="Arial" w:cs="Times New Roman"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71469"/>
    <w:pPr>
      <w:ind w:left="720"/>
      <w:contextualSpacing/>
    </w:pPr>
  </w:style>
  <w:style w:type="paragraph" w:customStyle="1" w:styleId="Styl1">
    <w:name w:val="Styl1"/>
    <w:basedOn w:val="Normalny"/>
    <w:rsid w:val="00571469"/>
    <w:pPr>
      <w:tabs>
        <w:tab w:val="left" w:pos="0"/>
        <w:tab w:val="num" w:pos="432"/>
      </w:tabs>
      <w:spacing w:before="120" w:after="100" w:line="240" w:lineRule="auto"/>
      <w:ind w:left="432" w:hanging="432"/>
      <w:jc w:val="both"/>
    </w:pPr>
    <w:rPr>
      <w:sz w:val="22"/>
    </w:rPr>
  </w:style>
  <w:style w:type="paragraph" w:customStyle="1" w:styleId="Holdingpodstawowy">
    <w:name w:val="Holding podstawowy"/>
    <w:basedOn w:val="Normalny"/>
    <w:rsid w:val="00571469"/>
    <w:pPr>
      <w:numPr>
        <w:numId w:val="5"/>
      </w:numPr>
      <w:tabs>
        <w:tab w:val="clear" w:pos="720"/>
        <w:tab w:val="left" w:pos="0"/>
      </w:tabs>
      <w:spacing w:after="0" w:line="240" w:lineRule="auto"/>
      <w:ind w:left="0" w:firstLine="0"/>
      <w:jc w:val="both"/>
    </w:pPr>
    <w:rPr>
      <w:sz w:val="22"/>
    </w:rPr>
  </w:style>
  <w:style w:type="paragraph" w:customStyle="1" w:styleId="Tekstpodstawowyb">
    <w:name w:val="Tekst podstawowy.b"/>
    <w:basedOn w:val="Normalny"/>
    <w:rsid w:val="00571469"/>
    <w:pPr>
      <w:numPr>
        <w:ilvl w:val="4"/>
        <w:numId w:val="5"/>
      </w:numPr>
      <w:tabs>
        <w:tab w:val="clear" w:pos="644"/>
      </w:tabs>
      <w:spacing w:after="0" w:line="240" w:lineRule="auto"/>
      <w:ind w:left="0" w:firstLine="0"/>
    </w:pPr>
    <w:rPr>
      <w:rFonts w:ascii="Arial Narrow" w:hAnsi="Arial Narrow"/>
      <w:b/>
      <w:snapToGrid w:val="0"/>
      <w:color w:val="000000"/>
      <w:spacing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1562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2018-06-28T10:02:00Z</dcterms:created>
  <dcterms:modified xsi:type="dcterms:W3CDTF">2018-06-28T10:04:00Z</dcterms:modified>
</cp:coreProperties>
</file>