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705F" w:rsidRDefault="00E5705F" w:rsidP="007E130B">
      <w:pPr>
        <w:spacing w:after="0" w:line="360" w:lineRule="auto"/>
        <w:jc w:val="right"/>
        <w:rPr>
          <w:rFonts w:ascii="Book Antiqua" w:hAnsi="Book Antiqua"/>
          <w:i/>
          <w:spacing w:val="-4"/>
          <w:sz w:val="24"/>
          <w:szCs w:val="24"/>
          <w:lang w:eastAsia="pl-PL"/>
        </w:rPr>
      </w:pPr>
      <w:r>
        <w:rPr>
          <w:noProof/>
          <w:lang w:eastAsia="pl-PL"/>
        </w:rPr>
        <w:drawing>
          <wp:inline distT="0" distB="0" distL="0" distR="0" wp14:anchorId="28F40D53" wp14:editId="35AFF0EF">
            <wp:extent cx="5760720" cy="715778"/>
            <wp:effectExtent l="0" t="0" r="0" b="825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60720" cy="715778"/>
                    </a:xfrm>
                    <a:prstGeom prst="rect">
                      <a:avLst/>
                    </a:prstGeom>
                  </pic:spPr>
                </pic:pic>
              </a:graphicData>
            </a:graphic>
          </wp:inline>
        </w:drawing>
      </w:r>
    </w:p>
    <w:p w:rsidR="00E5705F" w:rsidRDefault="00E5705F" w:rsidP="007E130B">
      <w:pPr>
        <w:spacing w:after="0" w:line="360" w:lineRule="auto"/>
        <w:jc w:val="right"/>
        <w:rPr>
          <w:rFonts w:ascii="Book Antiqua" w:hAnsi="Book Antiqua"/>
          <w:i/>
          <w:spacing w:val="-4"/>
          <w:sz w:val="24"/>
          <w:szCs w:val="24"/>
          <w:lang w:eastAsia="pl-PL"/>
        </w:rPr>
      </w:pPr>
    </w:p>
    <w:p w:rsidR="007E130B" w:rsidRPr="00E913CD" w:rsidRDefault="007E130B" w:rsidP="007E130B">
      <w:pPr>
        <w:spacing w:after="0" w:line="360" w:lineRule="auto"/>
        <w:jc w:val="right"/>
        <w:rPr>
          <w:rFonts w:ascii="Book Antiqua" w:hAnsi="Book Antiqua"/>
          <w:b/>
          <w:spacing w:val="-4"/>
          <w:sz w:val="24"/>
          <w:szCs w:val="24"/>
          <w:lang w:eastAsia="pl-PL"/>
        </w:rPr>
      </w:pPr>
      <w:r>
        <w:rPr>
          <w:rFonts w:ascii="Book Antiqua" w:hAnsi="Book Antiqua"/>
          <w:i/>
          <w:spacing w:val="-4"/>
          <w:sz w:val="24"/>
          <w:szCs w:val="24"/>
          <w:lang w:eastAsia="pl-PL"/>
        </w:rPr>
        <w:t>Załączniki nr 2</w:t>
      </w:r>
      <w:r w:rsidRPr="00E913CD">
        <w:rPr>
          <w:rFonts w:ascii="Book Antiqua" w:hAnsi="Book Antiqua"/>
          <w:i/>
          <w:spacing w:val="-4"/>
          <w:sz w:val="24"/>
          <w:szCs w:val="24"/>
          <w:lang w:eastAsia="pl-PL"/>
        </w:rPr>
        <w:t xml:space="preserve"> </w:t>
      </w:r>
    </w:p>
    <w:p w:rsidR="007E130B" w:rsidRPr="00141A33" w:rsidRDefault="007E130B" w:rsidP="007E130B">
      <w:pPr>
        <w:spacing w:after="0" w:line="240" w:lineRule="auto"/>
        <w:rPr>
          <w:b/>
          <w:color w:val="FF0000"/>
        </w:rPr>
      </w:pPr>
      <w:r>
        <w:rPr>
          <w:b/>
          <w:color w:val="FF0000"/>
        </w:rPr>
        <w:t>Zadanie 1</w:t>
      </w:r>
    </w:p>
    <w:p w:rsidR="007E130B" w:rsidRDefault="007E130B" w:rsidP="007E130B">
      <w:pPr>
        <w:spacing w:after="0" w:line="240" w:lineRule="auto"/>
        <w:jc w:val="both"/>
      </w:pPr>
      <w:r w:rsidRPr="008546A2">
        <w:t xml:space="preserve">Oprogramowanie powinno zawierać: </w:t>
      </w:r>
    </w:p>
    <w:p w:rsidR="007E130B" w:rsidRDefault="007E130B" w:rsidP="007E130B">
      <w:pPr>
        <w:pStyle w:val="Akapitzlist"/>
        <w:numPr>
          <w:ilvl w:val="0"/>
          <w:numId w:val="1"/>
        </w:numPr>
        <w:spacing w:after="0" w:line="240" w:lineRule="auto"/>
        <w:jc w:val="both"/>
      </w:pPr>
      <w:r>
        <w:t xml:space="preserve">graficzny </w:t>
      </w:r>
      <w:r w:rsidRPr="008546A2">
        <w:t>interfejs</w:t>
      </w:r>
      <w:r>
        <w:t xml:space="preserve"> użytkownika z opcjami </w:t>
      </w:r>
      <w:r w:rsidRPr="008546A2">
        <w:t>wyboru</w:t>
      </w:r>
      <w:r>
        <w:t xml:space="preserve">: 1. </w:t>
      </w:r>
      <w:r w:rsidRPr="008546A2">
        <w:t xml:space="preserve">konfiguracji </w:t>
      </w:r>
      <w:r>
        <w:t xml:space="preserve">folderów (do zapisu geometrii, sygnałów, plików tymczasowych, ustawień systemu), 2. zapisu konfiguracji systemu, 3. </w:t>
      </w:r>
      <w:r w:rsidRPr="008546A2">
        <w:t xml:space="preserve">wczytania dowolnej zapisanej konfiguracji, </w:t>
      </w:r>
      <w:r>
        <w:t xml:space="preserve">4. </w:t>
      </w:r>
      <w:r w:rsidRPr="008546A2">
        <w:t xml:space="preserve">wyjście z oprogramowania </w:t>
      </w:r>
      <w:r>
        <w:t xml:space="preserve">z </w:t>
      </w:r>
      <w:r w:rsidRPr="008546A2">
        <w:t>zapis</w:t>
      </w:r>
      <w:r>
        <w:t xml:space="preserve">em lub nie </w:t>
      </w:r>
      <w:r w:rsidRPr="008546A2">
        <w:t>ostatniej konfiguracji</w:t>
      </w:r>
      <w:r>
        <w:t xml:space="preserve">; 5. zdefiniowania parametrów systemu (praca ręczna, praca z urządzeniem skanującym-robotem, praca z urządzeniem </w:t>
      </w:r>
      <w:proofErr w:type="spellStart"/>
      <w:r w:rsidRPr="008546A2">
        <w:t>HandyScope</w:t>
      </w:r>
      <w:proofErr w:type="spellEnd"/>
      <w:r w:rsidRPr="008546A2">
        <w:t xml:space="preserve"> HS5</w:t>
      </w:r>
      <w:r>
        <w:t xml:space="preserve">, praca z urządzeniem </w:t>
      </w:r>
      <w:proofErr w:type="spellStart"/>
      <w:r w:rsidRPr="008546A2">
        <w:t>PicoScope</w:t>
      </w:r>
      <w:proofErr w:type="spellEnd"/>
      <w:r w:rsidRPr="008546A2">
        <w:t xml:space="preserve"> </w:t>
      </w:r>
      <w:r>
        <w:t>serii 5000), 6. określenie parametrów ruchu urządzenia skanującego (wybór osi), 7. zdefiniowanie parametrów wybranych urządzeń w systemie pomiarowym, 8. zdefiniowanie parametrów zapisu danych pomiarowych, 9. geometrii dla poszczególnych osi i liczby profili do skanowania, 10. uruchomienia modułu akwizycji (rodzaju rejestrowanego sygnału, korelacji sygnałów, okienkowania sygnałów, 11. uruchomienie pomiaru automatycznego, 12. wykonanie zaplanowanego pomiaru, 13. podglądu zarejestrowanych sygnałów;</w:t>
      </w:r>
    </w:p>
    <w:p w:rsidR="007E130B" w:rsidRDefault="007E130B" w:rsidP="007E130B">
      <w:pPr>
        <w:pStyle w:val="Akapitzlist"/>
        <w:numPr>
          <w:ilvl w:val="0"/>
          <w:numId w:val="1"/>
        </w:numPr>
        <w:spacing w:after="0" w:line="240" w:lineRule="auto"/>
        <w:jc w:val="both"/>
      </w:pPr>
      <w:r w:rsidRPr="008546A2">
        <w:t xml:space="preserve">obsługę kontrolera pięcioosiowego (np. </w:t>
      </w:r>
      <w:r>
        <w:t xml:space="preserve">typu </w:t>
      </w:r>
      <w:r w:rsidRPr="008546A2">
        <w:t>InterpCNC2.1</w:t>
      </w:r>
      <w:r>
        <w:t xml:space="preserve"> lub równoważnego</w:t>
      </w:r>
      <w:r w:rsidRPr="008546A2">
        <w:t>) z możliwością zaprogramowania skanowania</w:t>
      </w:r>
      <w:r>
        <w:t>/przesuwu materiału badanego w osi X oraz przesuwu głowic ultradźwiękowych w osiach Y-Y (ruch liniowy</w:t>
      </w:r>
      <w:r w:rsidRPr="008546A2">
        <w:t xml:space="preserve"> </w:t>
      </w:r>
      <w:r>
        <w:t xml:space="preserve">w </w:t>
      </w:r>
      <w:r w:rsidRPr="008546A2">
        <w:t>osi</w:t>
      </w:r>
      <w:r>
        <w:t>ach X, Y, Y) z</w:t>
      </w:r>
      <w:r w:rsidRPr="008546A2">
        <w:t xml:space="preserve"> </w:t>
      </w:r>
      <w:r>
        <w:t>dowolnie regulowanym krokiem przesuwu materiału skanowanego, lub/oraz przetworników ultradźwiękowych wynoszącym minimum 1mm;</w:t>
      </w:r>
    </w:p>
    <w:p w:rsidR="007E130B" w:rsidRDefault="007E130B" w:rsidP="007E130B">
      <w:pPr>
        <w:spacing w:after="0" w:line="240" w:lineRule="auto"/>
        <w:ind w:left="360"/>
        <w:jc w:val="both"/>
      </w:pPr>
      <w:r>
        <w:t xml:space="preserve">Opis szczegółowy dostępnych opcji: </w:t>
      </w:r>
    </w:p>
    <w:p w:rsidR="00E5705F" w:rsidRDefault="007E130B" w:rsidP="007E130B">
      <w:pPr>
        <w:pStyle w:val="Akapitzlist"/>
        <w:numPr>
          <w:ilvl w:val="0"/>
          <w:numId w:val="1"/>
        </w:numPr>
        <w:spacing w:after="0" w:line="240" w:lineRule="auto"/>
        <w:jc w:val="both"/>
      </w:pPr>
      <w:r>
        <w:t xml:space="preserve">zakładka nr 5 - </w:t>
      </w:r>
      <w:r w:rsidRPr="008546A2">
        <w:t xml:space="preserve">możliwość zdefiniowania parametrów systemu pomiarowego typu: </w:t>
      </w:r>
      <w:r>
        <w:t xml:space="preserve">(i) </w:t>
      </w:r>
      <w:r w:rsidRPr="008546A2">
        <w:t>praca automatyczna z urządzeniem skanującym</w:t>
      </w:r>
      <w:r>
        <w:t xml:space="preserve"> lub bez udziału urządzania skanującego</w:t>
      </w:r>
      <w:r w:rsidRPr="008546A2">
        <w:t xml:space="preserve">, </w:t>
      </w:r>
      <w:r>
        <w:t xml:space="preserve">(ii) praca </w:t>
      </w:r>
      <w:r w:rsidRPr="008546A2">
        <w:t>manualn</w:t>
      </w:r>
      <w:r>
        <w:t>a – ręczna (dla dowolnie zdefiniowanej liczby punktów pomiarowych, profili pomiarowych)</w:t>
      </w:r>
      <w:r w:rsidRPr="008546A2">
        <w:t xml:space="preserve">, wybór typu generatora sygnałów </w:t>
      </w:r>
      <w:r>
        <w:t xml:space="preserve">obejmujący: </w:t>
      </w:r>
      <w:r w:rsidRPr="008546A2">
        <w:t xml:space="preserve">obsługę  </w:t>
      </w:r>
      <w:r>
        <w:t xml:space="preserve">urządzenia </w:t>
      </w:r>
      <w:r w:rsidRPr="008546A2">
        <w:t xml:space="preserve">typu </w:t>
      </w:r>
      <w:proofErr w:type="spellStart"/>
      <w:r w:rsidRPr="008546A2">
        <w:t>HandyScope</w:t>
      </w:r>
      <w:proofErr w:type="spellEnd"/>
      <w:r w:rsidRPr="008546A2">
        <w:t xml:space="preserve"> HS5 540XM</w:t>
      </w:r>
      <w:r>
        <w:t xml:space="preserve"> W5 z komunikacją USB lub równoważnego</w:t>
      </w:r>
      <w:r w:rsidRPr="008546A2">
        <w:t xml:space="preserve"> (z jednym kanałem generatora sygnałów arbitralnych oraz dwoma kanałami oscylosk</w:t>
      </w:r>
      <w:r>
        <w:t xml:space="preserve">opu) oraz </w:t>
      </w:r>
      <w:r w:rsidRPr="008546A2">
        <w:t xml:space="preserve">generatora i </w:t>
      </w:r>
      <w:proofErr w:type="spellStart"/>
      <w:r w:rsidRPr="008546A2">
        <w:t>os</w:t>
      </w:r>
      <w:r>
        <w:t>c</w:t>
      </w:r>
      <w:proofErr w:type="spellEnd"/>
    </w:p>
    <w:p w:rsidR="007E130B" w:rsidRDefault="007E130B" w:rsidP="007E130B">
      <w:pPr>
        <w:pStyle w:val="Akapitzlist"/>
        <w:numPr>
          <w:ilvl w:val="0"/>
          <w:numId w:val="1"/>
        </w:numPr>
        <w:spacing w:after="0" w:line="240" w:lineRule="auto"/>
        <w:jc w:val="both"/>
      </w:pPr>
      <w:proofErr w:type="spellStart"/>
      <w:r w:rsidRPr="008546A2">
        <w:t>yloskopu</w:t>
      </w:r>
      <w:proofErr w:type="spellEnd"/>
      <w:r>
        <w:t xml:space="preserve"> typu</w:t>
      </w:r>
      <w:r w:rsidRPr="008546A2">
        <w:t xml:space="preserve"> </w:t>
      </w:r>
      <w:proofErr w:type="spellStart"/>
      <w:r w:rsidRPr="008546A2">
        <w:t>PicoScope</w:t>
      </w:r>
      <w:proofErr w:type="spellEnd"/>
      <w:r w:rsidRPr="008546A2">
        <w:t xml:space="preserve"> serii 5000</w:t>
      </w:r>
      <w:r>
        <w:t xml:space="preserve"> lub równoważnego</w:t>
      </w:r>
      <w:r w:rsidRPr="008546A2">
        <w:t xml:space="preserve"> (</w:t>
      </w:r>
      <w:r>
        <w:t xml:space="preserve">np. </w:t>
      </w:r>
      <w:r w:rsidRPr="008546A2">
        <w:t>urządzeni</w:t>
      </w:r>
      <w:r>
        <w:t>e</w:t>
      </w:r>
      <w:r w:rsidRPr="008546A2">
        <w:t xml:space="preserve"> </w:t>
      </w:r>
      <w:proofErr w:type="spellStart"/>
      <w:r w:rsidRPr="008546A2">
        <w:t>PicoScope</w:t>
      </w:r>
      <w:proofErr w:type="spellEnd"/>
      <w:r w:rsidRPr="008546A2">
        <w:t xml:space="preserve"> 5442B))</w:t>
      </w:r>
      <w:r>
        <w:t xml:space="preserve"> z min. jednym kanałem generatora sygnałów arbitralnych oraz dwoma kanałami oscyloskopu</w:t>
      </w:r>
      <w:r w:rsidRPr="008546A2">
        <w:t xml:space="preserve">; </w:t>
      </w:r>
    </w:p>
    <w:p w:rsidR="007E130B" w:rsidRDefault="007E130B" w:rsidP="007E130B">
      <w:pPr>
        <w:pStyle w:val="Akapitzlist"/>
        <w:numPr>
          <w:ilvl w:val="0"/>
          <w:numId w:val="1"/>
        </w:numPr>
        <w:spacing w:after="0" w:line="240" w:lineRule="auto"/>
        <w:jc w:val="both"/>
      </w:pPr>
      <w:r w:rsidRPr="008546A2">
        <w:t>zakładk</w:t>
      </w:r>
      <w:r>
        <w:t>a nr 6 – powinna zapewnić kalibrację układu pomiarowego dla każdej z osi tj. określenie punktów zerowych, informować o odległości przetworników ultradźwiękowych od materiału badanego z pomiaru czujnikiem laserowym oraz możliwość wyzerowania otrzymanych parametrów, możliwość zatrzymania układu pomiarowego podczas kalibracji oraz pracy ręcznej tego układu tj. przemieszczania przetworników ultradźwiękowych i materiału badanego w osiach X, Y, Y na dowolną odległość;</w:t>
      </w:r>
    </w:p>
    <w:p w:rsidR="007E130B" w:rsidRDefault="007E130B" w:rsidP="007E130B">
      <w:pPr>
        <w:pStyle w:val="Akapitzlist"/>
        <w:numPr>
          <w:ilvl w:val="0"/>
          <w:numId w:val="1"/>
        </w:numPr>
        <w:spacing w:after="0" w:line="240" w:lineRule="auto"/>
        <w:jc w:val="both"/>
      </w:pPr>
      <w:r>
        <w:t xml:space="preserve">zakładka nr 7 - </w:t>
      </w:r>
      <w:r w:rsidRPr="008546A2">
        <w:t xml:space="preserve">zaprogramowanie </w:t>
      </w:r>
      <w:r>
        <w:t xml:space="preserve">typu </w:t>
      </w:r>
      <w:r w:rsidRPr="008546A2">
        <w:t xml:space="preserve">sygnałów dla generatora sygnałów arbitralnych </w:t>
      </w:r>
      <w:r>
        <w:t xml:space="preserve">np. sygnału </w:t>
      </w:r>
      <w:r w:rsidRPr="008546A2">
        <w:t xml:space="preserve">typu impuls, </w:t>
      </w:r>
      <w:r>
        <w:t xml:space="preserve">sinus, </w:t>
      </w:r>
      <w:proofErr w:type="spellStart"/>
      <w:r w:rsidRPr="008546A2">
        <w:t>burst</w:t>
      </w:r>
      <w:proofErr w:type="spellEnd"/>
      <w:r w:rsidRPr="008546A2">
        <w:t xml:space="preserve">, </w:t>
      </w:r>
      <w:proofErr w:type="spellStart"/>
      <w:r w:rsidRPr="008546A2">
        <w:t>chirp</w:t>
      </w:r>
      <w:proofErr w:type="spellEnd"/>
      <w:r w:rsidRPr="008546A2">
        <w:t xml:space="preserve">, </w:t>
      </w:r>
      <w:proofErr w:type="spellStart"/>
      <w:r w:rsidRPr="008546A2">
        <w:t>Golay</w:t>
      </w:r>
      <w:proofErr w:type="spellEnd"/>
      <w:r>
        <w:t xml:space="preserve"> (z kalkulacją czasu trwania poszczególnych sygnałów z czasem pauzy)</w:t>
      </w:r>
      <w:r w:rsidRPr="008546A2">
        <w:t xml:space="preserve"> w zakresie częstotliwości od 1Hz do 40MHz </w:t>
      </w:r>
      <w:r>
        <w:t xml:space="preserve">dla </w:t>
      </w:r>
      <w:r w:rsidRPr="008546A2">
        <w:t>różnej częstotliwości próbkowania sygnałów do 10MHz z wyk</w:t>
      </w:r>
      <w:r>
        <w:t xml:space="preserve">orzystaniem różnych typów okien nakładanych na sygnał generowany np. </w:t>
      </w:r>
      <w:r w:rsidRPr="008546A2">
        <w:t xml:space="preserve">Hanning, </w:t>
      </w:r>
      <w:proofErr w:type="spellStart"/>
      <w:r w:rsidRPr="008546A2">
        <w:t>Hamming</w:t>
      </w:r>
      <w:proofErr w:type="spellEnd"/>
      <w:r w:rsidRPr="008546A2">
        <w:t>, Gauss,</w:t>
      </w:r>
      <w:r>
        <w:t xml:space="preserve"> i</w:t>
      </w:r>
      <w:r w:rsidRPr="008546A2">
        <w:t xml:space="preserve"> inn</w:t>
      </w:r>
      <w:r>
        <w:t xml:space="preserve">e do nadania odpowiedniej charakterystyki widmowej sygnałom nadawanym w modulacji AM lub FM, podglądu widma generowanego sygnału oraz jego charakterystyki w dziedzinie czasu bez i/lub po korelacji, </w:t>
      </w:r>
      <w:r w:rsidRPr="008546A2">
        <w:t>zdefin</w:t>
      </w:r>
      <w:r>
        <w:t>i</w:t>
      </w:r>
      <w:r w:rsidRPr="008546A2">
        <w:t>owanie charakterystyki częstotliwościowej sygnału generowanego manualnie tj. nadanie mu kształtu dowolnego okna</w:t>
      </w:r>
      <w:r>
        <w:t xml:space="preserve">, zapewnienie </w:t>
      </w:r>
      <w:r w:rsidRPr="008546A2">
        <w:t>podgląd</w:t>
      </w:r>
      <w:r>
        <w:t>u</w:t>
      </w:r>
      <w:r w:rsidRPr="008546A2">
        <w:t xml:space="preserve"> generowanego sygnału lub jego widma, podgląd</w:t>
      </w:r>
      <w:r>
        <w:t>u</w:t>
      </w:r>
      <w:r w:rsidRPr="008546A2">
        <w:t xml:space="preserve"> sygnału wzorca na </w:t>
      </w:r>
      <w:r>
        <w:t xml:space="preserve">drugim </w:t>
      </w:r>
      <w:r w:rsidRPr="008546A2">
        <w:t>kana</w:t>
      </w:r>
      <w:r>
        <w:t>le</w:t>
      </w:r>
      <w:r w:rsidRPr="008546A2">
        <w:t xml:space="preserve"> oscyloskopu, oraz  sygnału rejestrowanego </w:t>
      </w:r>
      <w:r w:rsidRPr="008546A2">
        <w:lastRenderedPageBreak/>
        <w:t xml:space="preserve">na </w:t>
      </w:r>
      <w:r>
        <w:t xml:space="preserve">pierwszym </w:t>
      </w:r>
      <w:r w:rsidRPr="008546A2">
        <w:t>kanele urządzenia</w:t>
      </w:r>
      <w:r>
        <w:t>, zdefiniowanie czasu podglądu, częstotliwości próbkowania sygnałów, liczby uśrednień sygnałów, opcji wyzwalania dla oscyloskopu;</w:t>
      </w:r>
    </w:p>
    <w:p w:rsidR="007E130B" w:rsidRDefault="007E130B" w:rsidP="007E130B">
      <w:pPr>
        <w:pStyle w:val="Akapitzlist"/>
        <w:numPr>
          <w:ilvl w:val="0"/>
          <w:numId w:val="1"/>
        </w:numPr>
        <w:spacing w:after="0" w:line="240" w:lineRule="auto"/>
        <w:jc w:val="both"/>
      </w:pPr>
      <w:r>
        <w:t xml:space="preserve">zakładka nr 8 – zdefiniowanie nazwy katalogów, do których będą zapisywane dane w trybie ręcznym lub automatycznym, </w:t>
      </w:r>
      <w:r w:rsidRPr="008546A2">
        <w:t xml:space="preserve">zdefiniowanie </w:t>
      </w:r>
      <w:r>
        <w:t xml:space="preserve">typu </w:t>
      </w:r>
      <w:r w:rsidRPr="008546A2">
        <w:t>formatu zapisu danych</w:t>
      </w:r>
      <w:r>
        <w:t>:</w:t>
      </w:r>
      <w:r w:rsidRPr="008546A2">
        <w:t xml:space="preserve"> </w:t>
      </w:r>
      <w:r>
        <w:t xml:space="preserve">format binarny lub typu „mat” format oprogramowania </w:t>
      </w:r>
      <w:proofErr w:type="spellStart"/>
      <w:r>
        <w:t>Matlab</w:t>
      </w:r>
      <w:proofErr w:type="spellEnd"/>
      <w:r>
        <w:t xml:space="preserve">, dla obu przypadków nagłówek plików powinien zawierać: liczbę punktów pomiarowych, krok skanowania, liczbę profili skanowania, liczbę uśrednień sygnału, liczbę zapisanych sygnałów dla danego punktu pomiaru, informację o rozdzielczości sygnałów, ilości próbek rejestrowanego sygnału/sygnałów, częstotliwości próbkowania, możliwość zdeklarowania zapisu sygnału wzorca, oprogramowanie powinno zapewnić możliwość </w:t>
      </w:r>
      <w:r w:rsidRPr="008546A2">
        <w:t>akwizycj</w:t>
      </w:r>
      <w:r>
        <w:t>i</w:t>
      </w:r>
      <w:r w:rsidRPr="008546A2">
        <w:t xml:space="preserve"> sygnałów </w:t>
      </w:r>
      <w:r>
        <w:t xml:space="preserve">po </w:t>
      </w:r>
      <w:r w:rsidRPr="008546A2">
        <w:t>korel</w:t>
      </w:r>
      <w:r>
        <w:t>acji oraz sygnałów przed korelacją (sygnału wzorca oraz sygnału rejestrowanego bezpośrednio przez głowice odbiorczą);</w:t>
      </w:r>
    </w:p>
    <w:p w:rsidR="007E130B" w:rsidRDefault="007E130B" w:rsidP="007E130B">
      <w:pPr>
        <w:pStyle w:val="Akapitzlist"/>
        <w:numPr>
          <w:ilvl w:val="0"/>
          <w:numId w:val="1"/>
        </w:numPr>
        <w:spacing w:after="0" w:line="240" w:lineRule="auto"/>
        <w:jc w:val="both"/>
      </w:pPr>
      <w:r>
        <w:t>zakładka nr 9 – zdefiniowanie liczby punktów pomiarowych dla wybranych osi, długości profilu skanowania, kroku skanowania (może być narzucony przez operatora lub obliczony przez oprogramowanie na bazie parametrów - liczby punktów pomiarowych, długości profilu skanowania), liczby profili skanowania, zdefiniowanie, który z przetworników podczas skanowania będzie się przemieszczał tj. (przemieszczanie jednego z dwóch przetworników czy też obu jednocześnie), osi skanowania, kąta ustawienia przetwornika względem materiału badanego w zakresie od 0</w:t>
      </w:r>
      <w:r>
        <w:rPr>
          <w:vertAlign w:val="superscript"/>
        </w:rPr>
        <w:t>o</w:t>
      </w:r>
      <w:r>
        <w:t xml:space="preserve"> do 90</w:t>
      </w:r>
      <w:r>
        <w:rPr>
          <w:vertAlign w:val="superscript"/>
        </w:rPr>
        <w:t>o</w:t>
      </w:r>
      <w:r>
        <w:t>;</w:t>
      </w:r>
    </w:p>
    <w:p w:rsidR="007E130B" w:rsidRDefault="007E130B" w:rsidP="007E130B">
      <w:pPr>
        <w:pStyle w:val="Akapitzlist"/>
        <w:numPr>
          <w:ilvl w:val="0"/>
          <w:numId w:val="1"/>
        </w:numPr>
        <w:spacing w:after="0" w:line="240" w:lineRule="auto"/>
        <w:jc w:val="both"/>
      </w:pPr>
      <w:r>
        <w:t xml:space="preserve">zakładka nr 10 – powinna zapewnić </w:t>
      </w:r>
      <w:r w:rsidRPr="008546A2">
        <w:t>podgląd sygnałów nadawanych oraz rejestrowanych wraz z sygnałem wzorca, w przypadku sygnałów kodowanych oprogramowanie powinno zapewniać realizację korelacji sygnałów</w:t>
      </w:r>
      <w:r>
        <w:t xml:space="preserve"> (wzorca oraz sygnału rejestrowanego przez głowicę odbiorczą) oraz opcję załączania lub nie funkcji korelacji, </w:t>
      </w:r>
      <w:r w:rsidRPr="008546A2">
        <w:t xml:space="preserve">wizualizację </w:t>
      </w:r>
      <w:r>
        <w:t xml:space="preserve">sygnału wynikowego </w:t>
      </w:r>
      <w:r w:rsidRPr="008546A2">
        <w:t>w dziedzinie czasu</w:t>
      </w:r>
      <w:r>
        <w:t xml:space="preserve"> dla zadanego okresu czasu oraz jego widma, możliwość </w:t>
      </w:r>
      <w:r w:rsidRPr="008546A2">
        <w:t>okienkowani</w:t>
      </w:r>
      <w:r>
        <w:t xml:space="preserve">a sygnału wynikowego w dziedzinie czasu i podgląd jego widma, możliwość porównywania sygnałów w dziedzinie czasu; </w:t>
      </w:r>
    </w:p>
    <w:p w:rsidR="007E130B" w:rsidRDefault="007E130B" w:rsidP="007E130B">
      <w:pPr>
        <w:pStyle w:val="Akapitzlist"/>
        <w:numPr>
          <w:ilvl w:val="0"/>
          <w:numId w:val="1"/>
        </w:numPr>
        <w:spacing w:after="0" w:line="240" w:lineRule="auto"/>
        <w:jc w:val="both"/>
      </w:pPr>
      <w:r>
        <w:t>zakładka nr 11 – powinna zapewnić: zdefiniowanie pracy automatycznej tj. liczby profili skanowania, przedział czasowy pomiędzy rejestrowanymi profilami, wyznaczyć czas skanowania (uwzględniający nadawanie sygnałów, rejestracje, korelację i zapis), informować o czasie całkowitego pomiaru, czasie jaki pozostał do zakończenia pomiaru automatycznego, czasie zakończenia wykonania pojedynczego profilu, aktualnie wykonywanym profilu oraz rejestrowanym punkcie pomiarowym, liczbie zapisanych profili pomiarowych, stanie aktualnie wykonywanych operacji (tj. nadawanie, rejestracja, korelacja, zapis), możliwość zmiany lub definicji nazwy plików/katalogów w zapisie automatycznym, możliwość przerwania pracy automatycznej w dowolnym momencie, wizualizację zapisywanych sygnałów w dziedzinie czasu tj. sygnału bezpośrednio rejestrowanego przez głowicę odbiorczą, sygnału skorelowanego (w przypadku sygnałów kodowanych) oraz sygnałów w postaci skanu B (położenie vs czas);</w:t>
      </w:r>
    </w:p>
    <w:p w:rsidR="007E130B" w:rsidRDefault="007E130B" w:rsidP="007E130B">
      <w:pPr>
        <w:pStyle w:val="Akapitzlist"/>
        <w:numPr>
          <w:ilvl w:val="0"/>
          <w:numId w:val="1"/>
        </w:numPr>
        <w:spacing w:after="0" w:line="240" w:lineRule="auto"/>
        <w:jc w:val="both"/>
      </w:pPr>
      <w:r>
        <w:t xml:space="preserve">zakładka nr 12 – powinna umożliwić uruchomienie pomiaru i jego zakończenie z zapisem danych, podgląd zapisywanych sygnałów w dziedzinie czasu tj. sygnału rejestrowanego bezpośrednio przez głowicę odbiorczą, sygnału po korelacji (w przypadku sygnałów kodowanych) oraz sygnałów w postaci skanu B tj. położenie vs czas, dodatkowo użytkownik powinien być informowany o czasie pomiaru, aktualnie rejestrowanym punkcie pomiarowym oraz profilu, posiadać możliwość przerwania pomiaru w dowolnym momencie z opcją powrotu układu pomiarowego do zdefiniowanego punktu początkowego pomiaru, podglądu aktualnie wykonywanych operacji (tj. nadawanie, rejestracja, korelacja, zapis sygnałów); </w:t>
      </w:r>
    </w:p>
    <w:p w:rsidR="007E130B" w:rsidRDefault="007E130B" w:rsidP="007E130B">
      <w:pPr>
        <w:pStyle w:val="Akapitzlist"/>
        <w:numPr>
          <w:ilvl w:val="0"/>
          <w:numId w:val="1"/>
        </w:numPr>
        <w:spacing w:after="0" w:line="240" w:lineRule="auto"/>
        <w:jc w:val="both"/>
      </w:pPr>
      <w:r>
        <w:t xml:space="preserve">zakładka nr 13 – powinna umożliwić użytkownikowi wczytanie dowolnego zarejestrowanego sygnału i jego wizualizację; </w:t>
      </w:r>
    </w:p>
    <w:p w:rsidR="007E130B" w:rsidRDefault="007E130B" w:rsidP="007E130B">
      <w:pPr>
        <w:pStyle w:val="Akapitzlist"/>
        <w:numPr>
          <w:ilvl w:val="0"/>
          <w:numId w:val="1"/>
        </w:numPr>
        <w:spacing w:after="0" w:line="240" w:lineRule="auto"/>
        <w:jc w:val="both"/>
      </w:pPr>
      <w:r>
        <w:t>k</w:t>
      </w:r>
      <w:r w:rsidRPr="008546A2">
        <w:t xml:space="preserve">od oprogramowania powinien być napisany </w:t>
      </w:r>
      <w:r>
        <w:t xml:space="preserve">w graficznym środowisku programistycznym </w:t>
      </w:r>
      <w:r w:rsidRPr="008546A2">
        <w:t>w</w:t>
      </w:r>
      <w:r>
        <w:t xml:space="preserve"> języku programowania „G”, zapisany w wersji </w:t>
      </w:r>
      <w:r w:rsidRPr="008546A2">
        <w:t>2014</w:t>
      </w:r>
      <w:r>
        <w:t xml:space="preserve">, </w:t>
      </w:r>
    </w:p>
    <w:p w:rsidR="007E130B" w:rsidRDefault="007E130B" w:rsidP="007E130B">
      <w:pPr>
        <w:pStyle w:val="Akapitzlist"/>
        <w:numPr>
          <w:ilvl w:val="0"/>
          <w:numId w:val="1"/>
        </w:numPr>
        <w:spacing w:after="0" w:line="240" w:lineRule="auto"/>
        <w:jc w:val="both"/>
      </w:pPr>
      <w:r>
        <w:t xml:space="preserve">oprogramowanie powinno być zapisane w formacie pozwalającym na jego dowolną modyfikację przez użytkownika </w:t>
      </w:r>
      <w:r w:rsidRPr="008546A2">
        <w:t xml:space="preserve">oraz </w:t>
      </w:r>
      <w:r>
        <w:t xml:space="preserve">posiadać </w:t>
      </w:r>
      <w:r w:rsidRPr="008546A2">
        <w:t>stosowaną dokumentacj</w:t>
      </w:r>
      <w:r>
        <w:t>ę do zaimplementowanych funkcji, bibliotek;</w:t>
      </w:r>
      <w:r w:rsidRPr="008546A2">
        <w:t xml:space="preserve"> </w:t>
      </w:r>
    </w:p>
    <w:p w:rsidR="007E130B" w:rsidRPr="00EA5657" w:rsidRDefault="007E130B" w:rsidP="007E130B">
      <w:pPr>
        <w:pStyle w:val="Akapitzlist"/>
        <w:numPr>
          <w:ilvl w:val="0"/>
          <w:numId w:val="1"/>
        </w:numPr>
        <w:spacing w:after="0" w:line="240" w:lineRule="auto"/>
        <w:jc w:val="both"/>
      </w:pPr>
      <w:r w:rsidRPr="00EA5657">
        <w:lastRenderedPageBreak/>
        <w:t>Wykonawca zapewni możliwość przetestowania oprogramowania w okresie 14 dni roboczych od jego dostarczenia i zapewni 6 miesięczną pomoc techniczną w postaci możliwości modyfikacji wybranych opcji oprogramowania pod kątem zwiększenia jego funkcjonalności jak również zapewnić poprawne jego działanie ze składnikami systemu pomiarowego.</w:t>
      </w:r>
    </w:p>
    <w:p w:rsidR="007E130B" w:rsidRPr="00EA5657" w:rsidRDefault="007E130B" w:rsidP="007E130B">
      <w:pPr>
        <w:pStyle w:val="Akapitzlist"/>
        <w:numPr>
          <w:ilvl w:val="0"/>
          <w:numId w:val="1"/>
        </w:numPr>
        <w:spacing w:after="0" w:line="240" w:lineRule="auto"/>
        <w:jc w:val="both"/>
      </w:pPr>
      <w:r w:rsidRPr="00EA5657">
        <w:t>Oprogramowanie ma działać na platformie Windows 7, 10, bądź równoważnej.</w:t>
      </w:r>
    </w:p>
    <w:p w:rsidR="007E130B" w:rsidRPr="00141A33" w:rsidRDefault="007E130B" w:rsidP="007E130B">
      <w:pPr>
        <w:spacing w:after="0" w:line="240" w:lineRule="auto"/>
      </w:pPr>
    </w:p>
    <w:p w:rsidR="007E130B" w:rsidRDefault="007E130B" w:rsidP="007E130B">
      <w:pPr>
        <w:spacing w:after="0"/>
      </w:pPr>
    </w:p>
    <w:p w:rsidR="007E130B" w:rsidRPr="00141A33" w:rsidRDefault="007E130B" w:rsidP="007E130B">
      <w:pPr>
        <w:spacing w:after="0" w:line="240" w:lineRule="auto"/>
        <w:rPr>
          <w:b/>
          <w:color w:val="FF0000"/>
        </w:rPr>
      </w:pPr>
      <w:r>
        <w:rPr>
          <w:b/>
          <w:color w:val="FF0000"/>
        </w:rPr>
        <w:t>Zadanie 2</w:t>
      </w:r>
      <w:bookmarkStart w:id="0" w:name="_GoBack"/>
      <w:bookmarkEnd w:id="0"/>
    </w:p>
    <w:p w:rsidR="007E130B" w:rsidRDefault="007E130B" w:rsidP="007E130B">
      <w:pPr>
        <w:spacing w:after="0"/>
      </w:pPr>
      <w:r>
        <w:t>Opis:</w:t>
      </w:r>
    </w:p>
    <w:p w:rsidR="007E130B" w:rsidRDefault="007E130B" w:rsidP="007E130B">
      <w:pPr>
        <w:spacing w:after="0"/>
      </w:pPr>
      <w:r>
        <w:t xml:space="preserve">Wykonanie Graficznego Interfejsu Użytkownika w środowisku programistycznym umożliwiającym: </w:t>
      </w:r>
    </w:p>
    <w:p w:rsidR="007E130B" w:rsidRDefault="007E130B" w:rsidP="007E130B">
      <w:pPr>
        <w:spacing w:after="0"/>
      </w:pPr>
      <w:r>
        <w:t>a) dwukierunkową komunikację szeregową systemu tomografii impedancyjnej  i komputera osobistego  poprzez porty: USB, Bluetooth ,  D-</w:t>
      </w:r>
      <w:proofErr w:type="spellStart"/>
      <w:r>
        <w:t>sub</w:t>
      </w:r>
      <w:proofErr w:type="spellEnd"/>
      <w:r>
        <w:t>;</w:t>
      </w:r>
    </w:p>
    <w:p w:rsidR="007E130B" w:rsidRDefault="007E130B" w:rsidP="007E130B">
      <w:pPr>
        <w:spacing w:after="0"/>
      </w:pPr>
      <w:r>
        <w:t>b) sterowanie pracą systemu poprzez wykorzystanie dotykowego ekranu komputera osobistego;</w:t>
      </w:r>
    </w:p>
    <w:p w:rsidR="007E130B" w:rsidRDefault="007E130B" w:rsidP="007E130B">
      <w:pPr>
        <w:spacing w:after="0"/>
      </w:pPr>
      <w:r>
        <w:t>c) automatyczny i ręczny tryb wyboru pracy systemu.</w:t>
      </w:r>
    </w:p>
    <w:p w:rsidR="00C854C8" w:rsidRDefault="00C854C8" w:rsidP="007E130B">
      <w:pPr>
        <w:rPr>
          <w:rFonts w:asciiTheme="minorHAnsi" w:hAnsiTheme="minorHAnsi"/>
          <w:shd w:val="clear" w:color="auto" w:fill="FFFFFF"/>
        </w:rPr>
      </w:pPr>
    </w:p>
    <w:p w:rsidR="007E130B" w:rsidRPr="001F68F4" w:rsidRDefault="007E130B" w:rsidP="007E130B">
      <w:pPr>
        <w:rPr>
          <w:rFonts w:asciiTheme="minorHAnsi" w:hAnsiTheme="minorHAnsi"/>
        </w:rPr>
      </w:pPr>
      <w:r w:rsidRPr="001F68F4">
        <w:rPr>
          <w:rFonts w:asciiTheme="minorHAnsi" w:hAnsiTheme="minorHAnsi"/>
          <w:shd w:val="clear" w:color="auto" w:fill="FFFFFF"/>
        </w:rPr>
        <w:t>Graficzny Interfejs Użytkownika</w:t>
      </w:r>
      <w:r w:rsidRPr="001F68F4">
        <w:rPr>
          <w:rFonts w:asciiTheme="minorHAnsi" w:hAnsiTheme="minorHAnsi"/>
        </w:rPr>
        <w:br/>
      </w:r>
      <w:r w:rsidRPr="001F68F4">
        <w:rPr>
          <w:rFonts w:asciiTheme="minorHAnsi" w:hAnsiTheme="minorHAnsi"/>
        </w:rPr>
        <w:br/>
      </w:r>
      <w:r w:rsidRPr="001F68F4">
        <w:rPr>
          <w:rFonts w:asciiTheme="minorHAnsi" w:hAnsiTheme="minorHAnsi"/>
          <w:shd w:val="clear" w:color="auto" w:fill="FFFFFF"/>
        </w:rPr>
        <w:t>Wykonanie oprogramowania w środowisku programistycznym umożliwiającym:</w:t>
      </w:r>
      <w:r w:rsidRPr="001F68F4">
        <w:rPr>
          <w:rFonts w:asciiTheme="minorHAnsi" w:hAnsiTheme="minorHAnsi"/>
        </w:rPr>
        <w:br/>
      </w:r>
      <w:r w:rsidRPr="001F68F4">
        <w:rPr>
          <w:rFonts w:asciiTheme="minorHAnsi" w:hAnsiTheme="minorHAnsi"/>
          <w:shd w:val="clear" w:color="auto" w:fill="FFFFFF"/>
        </w:rPr>
        <w:t>- dwukierunkową transmisję informacji w postaci znaków ASCII w transmisji asynchronicznej poprzez interfejs USART;</w:t>
      </w:r>
      <w:r w:rsidRPr="001F68F4">
        <w:rPr>
          <w:rFonts w:asciiTheme="minorHAnsi" w:hAnsiTheme="minorHAnsi"/>
        </w:rPr>
        <w:br/>
      </w:r>
      <w:r w:rsidRPr="001F68F4">
        <w:rPr>
          <w:rFonts w:asciiTheme="minorHAnsi" w:hAnsiTheme="minorHAnsi"/>
          <w:shd w:val="clear" w:color="auto" w:fill="FFFFFF"/>
        </w:rPr>
        <w:t>- interpretację dostarczonego przez system ciągu znaków ASCII pozwalającą na stworzenie algorytmu decyzyjnego aplikacji;</w:t>
      </w:r>
      <w:r w:rsidRPr="001F68F4">
        <w:rPr>
          <w:rFonts w:asciiTheme="minorHAnsi" w:hAnsiTheme="minorHAnsi"/>
        </w:rPr>
        <w:br/>
      </w:r>
      <w:r w:rsidRPr="001F68F4">
        <w:rPr>
          <w:rFonts w:asciiTheme="minorHAnsi" w:hAnsiTheme="minorHAnsi"/>
          <w:shd w:val="clear" w:color="auto" w:fill="FFFFFF"/>
        </w:rPr>
        <w:t>- wizualizację obecności elementów składowych systemu, na podstawie danych pobieranych poprzez interfejs USART w trybie identyfikacji systemu</w:t>
      </w:r>
      <w:r w:rsidRPr="001F68F4">
        <w:rPr>
          <w:rFonts w:asciiTheme="minorHAnsi" w:hAnsiTheme="minorHAnsi"/>
        </w:rPr>
        <w:br/>
      </w:r>
      <w:r w:rsidRPr="001F68F4">
        <w:rPr>
          <w:rFonts w:asciiTheme="minorHAnsi" w:hAnsiTheme="minorHAnsi"/>
          <w:shd w:val="clear" w:color="auto" w:fill="FFFFFF"/>
        </w:rPr>
        <w:t>- tryb pracy automatycznej w procesie realizacji pomiaru po wybraniu przez użytkownika zakresu elektrod jak i techniki pomiarowej</w:t>
      </w:r>
      <w:r w:rsidRPr="001F68F4">
        <w:rPr>
          <w:rFonts w:asciiTheme="minorHAnsi" w:hAnsiTheme="minorHAnsi"/>
        </w:rPr>
        <w:br/>
      </w:r>
      <w:r w:rsidRPr="001F68F4">
        <w:rPr>
          <w:rFonts w:asciiTheme="minorHAnsi" w:hAnsiTheme="minorHAnsi"/>
          <w:shd w:val="clear" w:color="auto" w:fill="FFFFFF"/>
        </w:rPr>
        <w:t xml:space="preserve">- tryb użytkownika dla indywidualnego wyboru elektrod z macierzy elektrod i wykonanie pomiaru dla niestandardowej techniki pomiarowej </w:t>
      </w:r>
      <w:r w:rsidRPr="001F68F4">
        <w:rPr>
          <w:rFonts w:asciiTheme="minorHAnsi" w:hAnsiTheme="minorHAnsi"/>
        </w:rPr>
        <w:br/>
      </w:r>
      <w:r w:rsidRPr="001F68F4">
        <w:rPr>
          <w:rFonts w:asciiTheme="minorHAnsi" w:hAnsiTheme="minorHAnsi"/>
          <w:shd w:val="clear" w:color="auto" w:fill="FFFFFF"/>
        </w:rPr>
        <w:t>- dotykowy, intuicyjny wybó</w:t>
      </w:r>
      <w:r w:rsidRPr="001F68F4">
        <w:rPr>
          <w:rStyle w:val="object"/>
          <w:rFonts w:asciiTheme="minorHAnsi" w:hAnsiTheme="minorHAnsi"/>
        </w:rPr>
        <w:t>r opcji systemu;</w:t>
      </w:r>
      <w:r w:rsidRPr="001F68F4">
        <w:rPr>
          <w:rFonts w:asciiTheme="minorHAnsi" w:hAnsiTheme="minorHAnsi"/>
        </w:rPr>
        <w:br/>
      </w:r>
      <w:r w:rsidRPr="001F68F4">
        <w:rPr>
          <w:rFonts w:asciiTheme="minorHAnsi" w:hAnsiTheme="minorHAnsi"/>
          <w:shd w:val="clear" w:color="auto" w:fill="FFFFFF"/>
        </w:rPr>
        <w:t>- indywidualny, liniowy, macierzowy wybó</w:t>
      </w:r>
      <w:r w:rsidRPr="001F68F4">
        <w:rPr>
          <w:rStyle w:val="object"/>
          <w:rFonts w:asciiTheme="minorHAnsi" w:hAnsiTheme="minorHAnsi"/>
        </w:rPr>
        <w:t>r elektrod systemu poprzez ich wskazanie na panelu dotykowym użytkownika;</w:t>
      </w:r>
      <w:r w:rsidRPr="001F68F4">
        <w:rPr>
          <w:rFonts w:asciiTheme="minorHAnsi" w:hAnsiTheme="minorHAnsi"/>
        </w:rPr>
        <w:br/>
      </w:r>
      <w:r w:rsidRPr="001F68F4">
        <w:rPr>
          <w:rFonts w:asciiTheme="minorHAnsi" w:hAnsiTheme="minorHAnsi"/>
          <w:shd w:val="clear" w:color="auto" w:fill="FFFFFF"/>
        </w:rPr>
        <w:t>- wybó</w:t>
      </w:r>
      <w:r w:rsidRPr="001F68F4">
        <w:rPr>
          <w:rStyle w:val="object"/>
          <w:rFonts w:asciiTheme="minorHAnsi" w:hAnsiTheme="minorHAnsi"/>
        </w:rPr>
        <w:t>r techniki pomiarowej, urządzenia pomiarowego oraz realizację procesu zasilająco-pomiarowego</w:t>
      </w:r>
      <w:r w:rsidRPr="001F68F4">
        <w:rPr>
          <w:rFonts w:asciiTheme="minorHAnsi" w:hAnsiTheme="minorHAnsi"/>
          <w:shd w:val="clear" w:color="auto" w:fill="FFFFFF"/>
        </w:rPr>
        <w:t>.</w:t>
      </w:r>
      <w:r w:rsidRPr="001F68F4">
        <w:rPr>
          <w:rFonts w:asciiTheme="minorHAnsi" w:hAnsiTheme="minorHAnsi"/>
        </w:rPr>
        <w:br/>
      </w:r>
      <w:r w:rsidRPr="001F68F4">
        <w:rPr>
          <w:rFonts w:asciiTheme="minorHAnsi" w:hAnsiTheme="minorHAnsi"/>
        </w:rPr>
        <w:br/>
      </w:r>
      <w:r w:rsidR="001F68F4">
        <w:rPr>
          <w:rFonts w:asciiTheme="minorHAnsi" w:hAnsiTheme="minorHAnsi"/>
          <w:shd w:val="clear" w:color="auto" w:fill="FFFFFF"/>
        </w:rPr>
        <w:t>Zamawiający</w:t>
      </w:r>
      <w:r w:rsidRPr="001F68F4">
        <w:rPr>
          <w:rFonts w:asciiTheme="minorHAnsi" w:hAnsiTheme="minorHAnsi"/>
          <w:shd w:val="clear" w:color="auto" w:fill="FFFFFF"/>
        </w:rPr>
        <w:t xml:space="preserve"> dostarcza kompletny zestaw kodów (znaki ASCII) opracowany dla jednostek mikrokontrolerowych, wchodzących w skład systemu.</w:t>
      </w:r>
      <w:r w:rsidRPr="001F68F4">
        <w:rPr>
          <w:rFonts w:asciiTheme="minorHAnsi" w:hAnsiTheme="minorHAnsi"/>
        </w:rPr>
        <w:br/>
      </w:r>
      <w:r w:rsidR="001F68F4">
        <w:rPr>
          <w:rFonts w:asciiTheme="minorHAnsi" w:hAnsiTheme="minorHAnsi"/>
          <w:shd w:val="clear" w:color="auto" w:fill="FFFFFF"/>
        </w:rPr>
        <w:t>Zamawiający</w:t>
      </w:r>
      <w:r w:rsidR="001F68F4" w:rsidRPr="001F68F4">
        <w:rPr>
          <w:rFonts w:asciiTheme="minorHAnsi" w:hAnsiTheme="minorHAnsi"/>
          <w:shd w:val="clear" w:color="auto" w:fill="FFFFFF"/>
        </w:rPr>
        <w:t xml:space="preserve"> </w:t>
      </w:r>
      <w:r w:rsidRPr="001F68F4">
        <w:rPr>
          <w:rFonts w:asciiTheme="minorHAnsi" w:hAnsiTheme="minorHAnsi"/>
          <w:shd w:val="clear" w:color="auto" w:fill="FFFFFF"/>
        </w:rPr>
        <w:t>dostarcza ogólny schemat komunikacyjno-decyzyjny pracy systemu.</w:t>
      </w:r>
      <w:r w:rsidRPr="001F68F4">
        <w:rPr>
          <w:rFonts w:asciiTheme="minorHAnsi" w:hAnsiTheme="minorHAnsi"/>
        </w:rPr>
        <w:br/>
      </w:r>
      <w:r w:rsidR="001F68F4">
        <w:rPr>
          <w:rFonts w:asciiTheme="minorHAnsi" w:hAnsiTheme="minorHAnsi"/>
          <w:shd w:val="clear" w:color="auto" w:fill="FFFFFF"/>
        </w:rPr>
        <w:t>Zamawiający</w:t>
      </w:r>
      <w:r w:rsidR="001F68F4" w:rsidRPr="001F68F4">
        <w:rPr>
          <w:rFonts w:asciiTheme="minorHAnsi" w:hAnsiTheme="minorHAnsi"/>
          <w:shd w:val="clear" w:color="auto" w:fill="FFFFFF"/>
        </w:rPr>
        <w:t xml:space="preserve"> </w:t>
      </w:r>
      <w:r w:rsidRPr="001F68F4">
        <w:rPr>
          <w:rFonts w:asciiTheme="minorHAnsi" w:hAnsiTheme="minorHAnsi"/>
          <w:shd w:val="clear" w:color="auto" w:fill="FFFFFF"/>
        </w:rPr>
        <w:t xml:space="preserve">wymaga możliwości kontaktu z </w:t>
      </w:r>
      <w:r w:rsidR="001F68F4">
        <w:rPr>
          <w:rFonts w:asciiTheme="minorHAnsi" w:hAnsiTheme="minorHAnsi"/>
          <w:shd w:val="clear" w:color="auto" w:fill="FFFFFF"/>
        </w:rPr>
        <w:t>Wykonawcą</w:t>
      </w:r>
      <w:r w:rsidRPr="001F68F4">
        <w:rPr>
          <w:rFonts w:asciiTheme="minorHAnsi" w:hAnsiTheme="minorHAnsi"/>
          <w:shd w:val="clear" w:color="auto" w:fill="FFFFFF"/>
        </w:rPr>
        <w:t xml:space="preserve"> poprzez (e-mail, rozmowa telefoniczna, rozmowa bezpośrednia) w całym okresie wykonywania oprogramowania.</w:t>
      </w:r>
      <w:r w:rsidRPr="001F68F4">
        <w:rPr>
          <w:rFonts w:asciiTheme="minorHAnsi" w:hAnsiTheme="minorHAnsi"/>
        </w:rPr>
        <w:br/>
      </w:r>
      <w:r w:rsidRPr="001F68F4">
        <w:rPr>
          <w:rFonts w:asciiTheme="minorHAnsi" w:hAnsiTheme="minorHAnsi"/>
          <w:shd w:val="clear" w:color="auto" w:fill="FFFFFF"/>
        </w:rPr>
        <w:t xml:space="preserve">Początek realizacji - po dostarczeniu przez </w:t>
      </w:r>
      <w:r w:rsidR="001F68F4">
        <w:rPr>
          <w:rFonts w:asciiTheme="minorHAnsi" w:hAnsiTheme="minorHAnsi"/>
          <w:shd w:val="clear" w:color="auto" w:fill="FFFFFF"/>
        </w:rPr>
        <w:t xml:space="preserve">Zamawiającego </w:t>
      </w:r>
      <w:r w:rsidRPr="001F68F4">
        <w:rPr>
          <w:rFonts w:asciiTheme="minorHAnsi" w:hAnsiTheme="minorHAnsi"/>
          <w:shd w:val="clear" w:color="auto" w:fill="FFFFFF"/>
        </w:rPr>
        <w:t>zestawu kodów systemu</w:t>
      </w:r>
      <w:r w:rsidRPr="0012181B">
        <w:rPr>
          <w:rFonts w:ascii="Times New Roman" w:hAnsi="Times New Roman"/>
          <w:sz w:val="24"/>
          <w:shd w:val="clear" w:color="auto" w:fill="FFFFFF"/>
        </w:rPr>
        <w:t>.</w:t>
      </w:r>
      <w:r w:rsidRPr="0012181B">
        <w:rPr>
          <w:rFonts w:ascii="Times New Roman" w:hAnsi="Times New Roman"/>
          <w:sz w:val="24"/>
        </w:rPr>
        <w:br/>
      </w:r>
      <w:r w:rsidRPr="001F68F4">
        <w:rPr>
          <w:rFonts w:asciiTheme="minorHAnsi" w:hAnsiTheme="minorHAnsi"/>
          <w:b/>
          <w:shd w:val="clear" w:color="auto" w:fill="FFFFFF"/>
        </w:rPr>
        <w:t>Wymagania:</w:t>
      </w:r>
      <w:r w:rsidRPr="001F68F4">
        <w:rPr>
          <w:rFonts w:asciiTheme="minorHAnsi" w:hAnsiTheme="minorHAnsi"/>
        </w:rPr>
        <w:br/>
      </w:r>
      <w:r w:rsidRPr="001F68F4">
        <w:rPr>
          <w:rFonts w:asciiTheme="minorHAnsi" w:hAnsiTheme="minorHAnsi"/>
          <w:shd w:val="clear" w:color="auto" w:fill="FFFFFF"/>
        </w:rPr>
        <w:t xml:space="preserve">-  </w:t>
      </w:r>
      <w:r w:rsidR="001F68F4" w:rsidRPr="001F68F4">
        <w:rPr>
          <w:rFonts w:asciiTheme="minorHAnsi" w:hAnsiTheme="minorHAnsi"/>
          <w:shd w:val="clear" w:color="auto" w:fill="FFFFFF"/>
        </w:rPr>
        <w:t xml:space="preserve">co najmniej </w:t>
      </w:r>
      <w:r w:rsidRPr="001F68F4">
        <w:rPr>
          <w:rFonts w:asciiTheme="minorHAnsi" w:hAnsiTheme="minorHAnsi"/>
          <w:shd w:val="clear" w:color="auto" w:fill="FFFFFF"/>
        </w:rPr>
        <w:t>12 miesięczna gwarancja poprawności działania oprogramowania</w:t>
      </w:r>
      <w:r w:rsidRPr="001F68F4">
        <w:rPr>
          <w:rFonts w:asciiTheme="minorHAnsi" w:hAnsiTheme="minorHAnsi"/>
        </w:rPr>
        <w:br/>
      </w:r>
      <w:r w:rsidRPr="001F68F4">
        <w:rPr>
          <w:rFonts w:asciiTheme="minorHAnsi" w:hAnsiTheme="minorHAnsi"/>
          <w:shd w:val="clear" w:color="auto" w:fill="FFFFFF"/>
        </w:rPr>
        <w:t xml:space="preserve">- w okresie testowania oprogramowania i prototypu systemu pełna dyspozycyjność usługodawcy - czas </w:t>
      </w:r>
      <w:r w:rsidR="00900FA9">
        <w:rPr>
          <w:rFonts w:asciiTheme="minorHAnsi" w:hAnsiTheme="minorHAnsi"/>
          <w:shd w:val="clear" w:color="auto" w:fill="FFFFFF"/>
        </w:rPr>
        <w:t xml:space="preserve">reakcji </w:t>
      </w:r>
      <w:r w:rsidRPr="001F68F4">
        <w:rPr>
          <w:rFonts w:asciiTheme="minorHAnsi" w:hAnsiTheme="minorHAnsi"/>
          <w:shd w:val="clear" w:color="auto" w:fill="FFFFFF"/>
        </w:rPr>
        <w:t>1-dzień</w:t>
      </w:r>
      <w:r w:rsidRPr="001F68F4">
        <w:rPr>
          <w:rFonts w:asciiTheme="minorHAnsi" w:hAnsiTheme="minorHAnsi"/>
        </w:rPr>
        <w:br/>
      </w:r>
      <w:r w:rsidRPr="001F68F4">
        <w:rPr>
          <w:rFonts w:asciiTheme="minorHAnsi" w:hAnsiTheme="minorHAnsi"/>
          <w:shd w:val="clear" w:color="auto" w:fill="FFFFFF"/>
        </w:rPr>
        <w:t xml:space="preserve">- dostarczenie </w:t>
      </w:r>
      <w:r w:rsidR="001F68F4" w:rsidRPr="001F68F4">
        <w:rPr>
          <w:rFonts w:asciiTheme="minorHAnsi" w:hAnsiTheme="minorHAnsi"/>
          <w:shd w:val="clear" w:color="auto" w:fill="FFFFFF"/>
        </w:rPr>
        <w:t>Zamawiającemu</w:t>
      </w:r>
      <w:r w:rsidRPr="001F68F4">
        <w:rPr>
          <w:rFonts w:asciiTheme="minorHAnsi" w:hAnsiTheme="minorHAnsi"/>
          <w:shd w:val="clear" w:color="auto" w:fill="FFFFFF"/>
        </w:rPr>
        <w:t xml:space="preserve"> kodów źródłowych wykonanego oprogramowania</w:t>
      </w:r>
      <w:r w:rsidRPr="001F68F4">
        <w:rPr>
          <w:rFonts w:asciiTheme="minorHAnsi" w:hAnsiTheme="minorHAnsi"/>
        </w:rPr>
        <w:br/>
      </w:r>
      <w:r w:rsidRPr="001F68F4">
        <w:rPr>
          <w:rFonts w:asciiTheme="minorHAnsi" w:hAnsiTheme="minorHAnsi"/>
          <w:shd w:val="clear" w:color="auto" w:fill="FFFFFF"/>
        </w:rPr>
        <w:t xml:space="preserve">- po zakończeniu realizacji oprogramowania prawo do wyłącznego użytkowania oprogramowania otrzymuje </w:t>
      </w:r>
      <w:r w:rsidR="001F68F4" w:rsidRPr="001F68F4">
        <w:rPr>
          <w:rFonts w:asciiTheme="minorHAnsi" w:hAnsiTheme="minorHAnsi"/>
          <w:shd w:val="clear" w:color="auto" w:fill="FFFFFF"/>
        </w:rPr>
        <w:t>Zamawiający.</w:t>
      </w:r>
    </w:p>
    <w:p w:rsidR="007E130B" w:rsidRDefault="007E130B" w:rsidP="007E130B">
      <w:pPr>
        <w:spacing w:after="0" w:line="240" w:lineRule="auto"/>
      </w:pPr>
    </w:p>
    <w:p w:rsidR="007E130B" w:rsidRPr="00141A33" w:rsidRDefault="007E130B" w:rsidP="007E130B">
      <w:pPr>
        <w:spacing w:after="0" w:line="240" w:lineRule="auto"/>
        <w:rPr>
          <w:b/>
          <w:color w:val="FF0000"/>
        </w:rPr>
      </w:pPr>
      <w:r>
        <w:rPr>
          <w:b/>
          <w:color w:val="FF0000"/>
        </w:rPr>
        <w:t>Zadanie 3</w:t>
      </w:r>
    </w:p>
    <w:p w:rsidR="007E130B" w:rsidRDefault="007E130B" w:rsidP="007E130B">
      <w:pPr>
        <w:spacing w:after="0" w:line="240" w:lineRule="auto"/>
      </w:pPr>
    </w:p>
    <w:p w:rsidR="007E130B" w:rsidRPr="001F68F4" w:rsidRDefault="007E130B" w:rsidP="001F68F4">
      <w:pPr>
        <w:spacing w:after="0"/>
        <w:ind w:left="720" w:right="283"/>
        <w:jc w:val="both"/>
        <w:rPr>
          <w:rFonts w:asciiTheme="minorHAnsi" w:hAnsiTheme="minorHAnsi"/>
        </w:rPr>
      </w:pPr>
      <w:r w:rsidRPr="001F68F4">
        <w:rPr>
          <w:rFonts w:asciiTheme="minorHAnsi" w:hAnsiTheme="minorHAnsi"/>
        </w:rPr>
        <w:t>Opracowanie interfejsu i dostarczenie wraz z kodem źródłowym oprogramowania do rejestracji i archiwizacji danych pomiarowych</w:t>
      </w:r>
    </w:p>
    <w:p w:rsidR="007E130B" w:rsidRPr="001F68F4" w:rsidRDefault="007E130B" w:rsidP="001F68F4">
      <w:pPr>
        <w:pStyle w:val="Akapitzlist"/>
        <w:spacing w:after="0"/>
        <w:ind w:right="283"/>
        <w:jc w:val="both"/>
        <w:rPr>
          <w:rFonts w:asciiTheme="minorHAnsi" w:hAnsiTheme="minorHAnsi"/>
        </w:rPr>
      </w:pPr>
    </w:p>
    <w:p w:rsidR="007E130B" w:rsidRPr="001F68F4" w:rsidRDefault="007E130B" w:rsidP="001F68F4">
      <w:pPr>
        <w:pStyle w:val="Default"/>
        <w:ind w:left="720"/>
        <w:rPr>
          <w:rFonts w:asciiTheme="minorHAnsi" w:hAnsiTheme="minorHAnsi"/>
          <w:b/>
          <w:sz w:val="22"/>
          <w:szCs w:val="22"/>
        </w:rPr>
      </w:pPr>
      <w:r w:rsidRPr="001F68F4">
        <w:rPr>
          <w:rFonts w:asciiTheme="minorHAnsi" w:hAnsiTheme="minorHAnsi"/>
          <w:b/>
          <w:sz w:val="22"/>
          <w:szCs w:val="22"/>
        </w:rPr>
        <w:t>Opis:</w:t>
      </w:r>
    </w:p>
    <w:p w:rsidR="007E130B" w:rsidRPr="001F68F4" w:rsidRDefault="007E130B" w:rsidP="001F68F4">
      <w:pPr>
        <w:pStyle w:val="Default"/>
        <w:numPr>
          <w:ilvl w:val="0"/>
          <w:numId w:val="5"/>
        </w:numPr>
        <w:tabs>
          <w:tab w:val="left" w:pos="1134"/>
        </w:tabs>
        <w:ind w:left="993" w:hanging="284"/>
        <w:rPr>
          <w:rFonts w:asciiTheme="minorHAnsi" w:hAnsiTheme="minorHAnsi"/>
          <w:b/>
          <w:sz w:val="22"/>
          <w:szCs w:val="22"/>
        </w:rPr>
      </w:pPr>
      <w:r w:rsidRPr="001F68F4">
        <w:rPr>
          <w:rFonts w:asciiTheme="minorHAnsi" w:hAnsiTheme="minorHAnsi"/>
          <w:sz w:val="22"/>
          <w:szCs w:val="22"/>
        </w:rPr>
        <w:t>interfejs z opcjami wyboru konfiguracji systemu obejmujący definicję folderów do zapisu danych, zapisu i/lub wczytania dowolnej zapisanej konfiguracji, zapis ostatniej konfiguracji, wyjście z oprogramowania;</w:t>
      </w:r>
    </w:p>
    <w:p w:rsidR="007E130B" w:rsidRPr="001F68F4" w:rsidRDefault="007E130B" w:rsidP="001F68F4">
      <w:pPr>
        <w:pStyle w:val="Default"/>
        <w:numPr>
          <w:ilvl w:val="0"/>
          <w:numId w:val="5"/>
        </w:numPr>
        <w:tabs>
          <w:tab w:val="left" w:pos="1134"/>
        </w:tabs>
        <w:ind w:left="993" w:hanging="284"/>
        <w:rPr>
          <w:rFonts w:asciiTheme="minorHAnsi" w:hAnsiTheme="minorHAnsi"/>
          <w:b/>
          <w:sz w:val="22"/>
          <w:szCs w:val="22"/>
        </w:rPr>
      </w:pPr>
      <w:r w:rsidRPr="001F68F4">
        <w:rPr>
          <w:rFonts w:asciiTheme="minorHAnsi" w:hAnsiTheme="minorHAnsi"/>
          <w:sz w:val="22"/>
          <w:szCs w:val="22"/>
        </w:rPr>
        <w:t>możliwość zdefiniowania parametrów systemu pomiarowego w tym siły, odkształcenia oraz pomiaru ciśnienia.</w:t>
      </w:r>
    </w:p>
    <w:p w:rsidR="007E130B" w:rsidRPr="001F68F4" w:rsidRDefault="007E130B" w:rsidP="001F68F4">
      <w:pPr>
        <w:pStyle w:val="Akapitzlist"/>
        <w:numPr>
          <w:ilvl w:val="0"/>
          <w:numId w:val="5"/>
        </w:numPr>
        <w:tabs>
          <w:tab w:val="left" w:pos="1134"/>
        </w:tabs>
        <w:spacing w:after="0" w:line="240" w:lineRule="auto"/>
        <w:ind w:left="993" w:hanging="284"/>
        <w:jc w:val="both"/>
        <w:rPr>
          <w:rFonts w:asciiTheme="minorHAnsi" w:hAnsiTheme="minorHAnsi"/>
        </w:rPr>
      </w:pPr>
      <w:r w:rsidRPr="001F68F4">
        <w:rPr>
          <w:rFonts w:asciiTheme="minorHAnsi" w:hAnsiTheme="minorHAnsi"/>
        </w:rPr>
        <w:t xml:space="preserve">kod oprogramowania powinien być napisany w środowisku typu </w:t>
      </w:r>
      <w:proofErr w:type="spellStart"/>
      <w:r w:rsidRPr="001F68F4">
        <w:rPr>
          <w:rFonts w:asciiTheme="minorHAnsi" w:hAnsiTheme="minorHAnsi"/>
        </w:rPr>
        <w:t>LabView</w:t>
      </w:r>
      <w:proofErr w:type="spellEnd"/>
      <w:r w:rsidRPr="001F68F4">
        <w:rPr>
          <w:rFonts w:asciiTheme="minorHAnsi" w:hAnsiTheme="minorHAnsi"/>
        </w:rPr>
        <w:t xml:space="preserve"> oraz udostępniony ze stosowaną dokumentacją,</w:t>
      </w:r>
    </w:p>
    <w:p w:rsidR="007E130B" w:rsidRPr="001F68F4" w:rsidRDefault="007E130B" w:rsidP="001F68F4">
      <w:pPr>
        <w:pStyle w:val="Akapitzlist"/>
        <w:numPr>
          <w:ilvl w:val="0"/>
          <w:numId w:val="5"/>
        </w:numPr>
        <w:tabs>
          <w:tab w:val="left" w:pos="1134"/>
        </w:tabs>
        <w:spacing w:after="0" w:line="240" w:lineRule="auto"/>
        <w:ind w:left="993" w:hanging="284"/>
        <w:jc w:val="both"/>
        <w:rPr>
          <w:rFonts w:asciiTheme="minorHAnsi" w:hAnsiTheme="minorHAnsi"/>
        </w:rPr>
      </w:pPr>
      <w:r w:rsidRPr="001F68F4">
        <w:rPr>
          <w:rFonts w:asciiTheme="minorHAnsi" w:hAnsiTheme="minorHAnsi"/>
        </w:rPr>
        <w:t xml:space="preserve">kod powinien dawać możliwość współpracy z programem </w:t>
      </w:r>
      <w:proofErr w:type="spellStart"/>
      <w:r w:rsidRPr="001F68F4">
        <w:rPr>
          <w:rFonts w:asciiTheme="minorHAnsi" w:hAnsiTheme="minorHAnsi"/>
        </w:rPr>
        <w:t>MAtlab</w:t>
      </w:r>
      <w:proofErr w:type="spellEnd"/>
      <w:r w:rsidRPr="001F68F4">
        <w:rPr>
          <w:rFonts w:asciiTheme="minorHAnsi" w:hAnsiTheme="minorHAnsi"/>
        </w:rPr>
        <w:t xml:space="preserve"> w tym z </w:t>
      </w:r>
      <w:proofErr w:type="spellStart"/>
      <w:r w:rsidRPr="001F68F4">
        <w:rPr>
          <w:rFonts w:asciiTheme="minorHAnsi" w:hAnsiTheme="minorHAnsi"/>
        </w:rPr>
        <w:t>Toolbox</w:t>
      </w:r>
      <w:proofErr w:type="spellEnd"/>
      <w:r w:rsidRPr="001F68F4">
        <w:rPr>
          <w:rFonts w:asciiTheme="minorHAnsi" w:hAnsiTheme="minorHAnsi"/>
        </w:rPr>
        <w:t xml:space="preserve"> </w:t>
      </w:r>
      <w:proofErr w:type="spellStart"/>
      <w:r w:rsidRPr="001F68F4">
        <w:rPr>
          <w:rFonts w:asciiTheme="minorHAnsi" w:hAnsiTheme="minorHAnsi"/>
        </w:rPr>
        <w:t>Matlab</w:t>
      </w:r>
      <w:proofErr w:type="spellEnd"/>
      <w:r w:rsidRPr="001F68F4">
        <w:rPr>
          <w:rFonts w:asciiTheme="minorHAnsi" w:hAnsiTheme="minorHAnsi"/>
        </w:rPr>
        <w:t xml:space="preserve"> </w:t>
      </w:r>
      <w:proofErr w:type="spellStart"/>
      <w:r w:rsidRPr="001F68F4">
        <w:rPr>
          <w:rFonts w:asciiTheme="minorHAnsi" w:hAnsiTheme="minorHAnsi"/>
        </w:rPr>
        <w:t>Acquisition</w:t>
      </w:r>
      <w:proofErr w:type="spellEnd"/>
      <w:r w:rsidRPr="001F68F4">
        <w:rPr>
          <w:rFonts w:asciiTheme="minorHAnsi" w:hAnsiTheme="minorHAnsi"/>
        </w:rPr>
        <w:t xml:space="preserve">  </w:t>
      </w:r>
    </w:p>
    <w:p w:rsidR="007E130B" w:rsidRPr="001F68F4" w:rsidRDefault="007E130B" w:rsidP="001F68F4">
      <w:pPr>
        <w:pStyle w:val="Akapitzlist"/>
        <w:rPr>
          <w:rFonts w:asciiTheme="minorHAnsi" w:hAnsiTheme="minorHAnsi"/>
        </w:rPr>
      </w:pPr>
    </w:p>
    <w:p w:rsidR="007E130B" w:rsidRPr="001F68F4" w:rsidRDefault="007E130B" w:rsidP="001F68F4">
      <w:pPr>
        <w:pStyle w:val="Akapitzlist"/>
        <w:rPr>
          <w:rFonts w:asciiTheme="minorHAnsi" w:hAnsiTheme="minorHAnsi"/>
        </w:rPr>
      </w:pPr>
      <w:r w:rsidRPr="001F68F4">
        <w:rPr>
          <w:rFonts w:asciiTheme="minorHAnsi" w:hAnsiTheme="minorHAnsi"/>
        </w:rPr>
        <w:t xml:space="preserve">Funkcjonalność programu polega na zbudowania interfejsu, który jest czytelny i intuicyjny. Ponadto interfejs </w:t>
      </w:r>
      <w:r w:rsidRPr="001F68F4">
        <w:rPr>
          <w:rFonts w:asciiTheme="minorHAnsi" w:hAnsiTheme="minorHAnsi" w:cs="Book Antiqua"/>
          <w:color w:val="000000"/>
        </w:rPr>
        <w:t xml:space="preserve">posiada </w:t>
      </w:r>
      <w:r w:rsidRPr="001F68F4">
        <w:rPr>
          <w:rFonts w:asciiTheme="minorHAnsi" w:hAnsiTheme="minorHAnsi"/>
        </w:rPr>
        <w:t xml:space="preserve">opcjami wyboru konfiguracji systemu obejmujący definicję folderów do zapisu danych, zapisu i/lub wczytania dowolnej zapisanej konfiguracji, zapis ostatniej konfiguracji, wyjście z oprogramowania.  Program musi mieć możliwość zdefiniowania parametrów systemu pomiarowego w tym siły, odkształcenia oraz pomiaru ciśnienia. Program musi mieć możliwość wizualizacji danych. Kod oprogramowania powinien być napisany w środowisku typu </w:t>
      </w:r>
      <w:proofErr w:type="spellStart"/>
      <w:r w:rsidRPr="001F68F4">
        <w:rPr>
          <w:rFonts w:asciiTheme="minorHAnsi" w:hAnsiTheme="minorHAnsi"/>
        </w:rPr>
        <w:t>LabView</w:t>
      </w:r>
      <w:proofErr w:type="spellEnd"/>
      <w:r w:rsidRPr="001F68F4">
        <w:rPr>
          <w:rFonts w:asciiTheme="minorHAnsi" w:hAnsiTheme="minorHAnsi"/>
        </w:rPr>
        <w:t xml:space="preserve"> oraz udostępniony ze stosowaną dokumentacją. Kod powinien dawać możliwość współpracy z programem </w:t>
      </w:r>
      <w:proofErr w:type="spellStart"/>
      <w:r w:rsidRPr="001F68F4">
        <w:rPr>
          <w:rFonts w:asciiTheme="minorHAnsi" w:hAnsiTheme="minorHAnsi"/>
        </w:rPr>
        <w:t>MAtlab</w:t>
      </w:r>
      <w:proofErr w:type="spellEnd"/>
      <w:r w:rsidRPr="001F68F4">
        <w:rPr>
          <w:rFonts w:asciiTheme="minorHAnsi" w:hAnsiTheme="minorHAnsi"/>
        </w:rPr>
        <w:t xml:space="preserve"> w tym z </w:t>
      </w:r>
      <w:proofErr w:type="spellStart"/>
      <w:r w:rsidRPr="001F68F4">
        <w:rPr>
          <w:rFonts w:asciiTheme="minorHAnsi" w:hAnsiTheme="minorHAnsi"/>
        </w:rPr>
        <w:t>Toolbox</w:t>
      </w:r>
      <w:proofErr w:type="spellEnd"/>
      <w:r w:rsidRPr="001F68F4">
        <w:rPr>
          <w:rFonts w:asciiTheme="minorHAnsi" w:hAnsiTheme="minorHAnsi"/>
        </w:rPr>
        <w:t xml:space="preserve"> </w:t>
      </w:r>
      <w:proofErr w:type="spellStart"/>
      <w:r w:rsidRPr="001F68F4">
        <w:rPr>
          <w:rFonts w:asciiTheme="minorHAnsi" w:hAnsiTheme="minorHAnsi"/>
        </w:rPr>
        <w:t>Matlab</w:t>
      </w:r>
      <w:proofErr w:type="spellEnd"/>
      <w:r w:rsidRPr="001F68F4">
        <w:rPr>
          <w:rFonts w:asciiTheme="minorHAnsi" w:hAnsiTheme="minorHAnsi"/>
        </w:rPr>
        <w:t xml:space="preserve"> </w:t>
      </w:r>
      <w:proofErr w:type="spellStart"/>
      <w:r w:rsidRPr="001F68F4">
        <w:rPr>
          <w:rFonts w:asciiTheme="minorHAnsi" w:hAnsiTheme="minorHAnsi"/>
        </w:rPr>
        <w:t>Acquisition</w:t>
      </w:r>
      <w:proofErr w:type="spellEnd"/>
      <w:r w:rsidRPr="001F68F4">
        <w:rPr>
          <w:rFonts w:asciiTheme="minorHAnsi" w:hAnsiTheme="minorHAnsi"/>
        </w:rPr>
        <w:t xml:space="preserve">  </w:t>
      </w:r>
      <w:r w:rsidR="001F68F4">
        <w:rPr>
          <w:rFonts w:asciiTheme="minorHAnsi" w:hAnsiTheme="minorHAnsi"/>
        </w:rPr>
        <w:t>.</w:t>
      </w:r>
    </w:p>
    <w:p w:rsidR="00630C86" w:rsidRPr="001F68F4" w:rsidRDefault="00630C86">
      <w:pPr>
        <w:rPr>
          <w:rFonts w:asciiTheme="minorHAnsi" w:hAnsiTheme="minorHAnsi"/>
        </w:rPr>
      </w:pPr>
    </w:p>
    <w:sectPr w:rsidR="00630C86" w:rsidRPr="001F68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95B83"/>
    <w:multiLevelType w:val="hybridMultilevel"/>
    <w:tmpl w:val="DB249E5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18B76E9"/>
    <w:multiLevelType w:val="hybridMultilevel"/>
    <w:tmpl w:val="E2EC01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4DF2B9A"/>
    <w:multiLevelType w:val="hybridMultilevel"/>
    <w:tmpl w:val="E30A8688"/>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 w15:restartNumberingAfterBreak="0">
    <w:nsid w:val="2EA10854"/>
    <w:multiLevelType w:val="hybridMultilevel"/>
    <w:tmpl w:val="5DBC5756"/>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5D013192"/>
    <w:multiLevelType w:val="hybridMultilevel"/>
    <w:tmpl w:val="C06C6F74"/>
    <w:lvl w:ilvl="0" w:tplc="706EB83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6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30B"/>
    <w:rsid w:val="001F68F4"/>
    <w:rsid w:val="00630C86"/>
    <w:rsid w:val="007E130B"/>
    <w:rsid w:val="00900FA9"/>
    <w:rsid w:val="00AE5789"/>
    <w:rsid w:val="00C854C8"/>
    <w:rsid w:val="00E570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EC51F"/>
  <w15:chartTrackingRefBased/>
  <w15:docId w15:val="{2606CD52-154E-4E05-AF82-BC46EACEC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E130B"/>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E130B"/>
    <w:pPr>
      <w:spacing w:after="200" w:line="276" w:lineRule="auto"/>
      <w:ind w:left="720"/>
      <w:contextualSpacing/>
    </w:pPr>
  </w:style>
  <w:style w:type="paragraph" w:customStyle="1" w:styleId="Default">
    <w:name w:val="Default"/>
    <w:rsid w:val="007E130B"/>
    <w:pPr>
      <w:autoSpaceDE w:val="0"/>
      <w:autoSpaceDN w:val="0"/>
      <w:adjustRightInd w:val="0"/>
      <w:spacing w:after="0" w:line="240" w:lineRule="auto"/>
    </w:pPr>
    <w:rPr>
      <w:rFonts w:ascii="Book Antiqua" w:eastAsia="Calibri" w:hAnsi="Book Antiqua" w:cs="Book Antiqua"/>
      <w:color w:val="000000"/>
      <w:sz w:val="24"/>
      <w:szCs w:val="24"/>
    </w:rPr>
  </w:style>
  <w:style w:type="character" w:customStyle="1" w:styleId="object">
    <w:name w:val="object"/>
    <w:rsid w:val="007E1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7BFC5D-9818-4B37-8938-D9C6A8344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1648</Words>
  <Characters>9890</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2018-08-06T11:47:00Z</dcterms:created>
  <dcterms:modified xsi:type="dcterms:W3CDTF">2018-08-07T07:18:00Z</dcterms:modified>
</cp:coreProperties>
</file>