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3E6" w:rsidRPr="005F03E6" w:rsidRDefault="005F03E6" w:rsidP="005F03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619721-N-2018 z dnia 2018-09-20 r.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serwera na potrzeby UKW w Bydgoszczy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F03E6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serwera na potrzeby UKW w Bydgoszczy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UKW/DZP-281-D-62/2018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5F03E6" w:rsidRPr="005F03E6" w:rsidRDefault="005F03E6" w:rsidP="005F03E6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serwera na potrzeby UKW w Bydgoszczy, szczegółowo określona w załączniku nr 2 do SIWZ (Formularz cenowy)oraz w warunkach projektu Umowy przedstawionego w Rozdziale 3 SIWZ.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48820000-2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14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5F03E6" w:rsidRPr="005F03E6" w:rsidTr="005F03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5F03E6" w:rsidRPr="005F03E6" w:rsidTr="005F03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 wymaga od wykonawców wskazania w ofercie lub we wniosku o dopuszczenie do udziału w postępowaniu imion i nazwisk osób wykonujących 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czynności przy realizacji zamówienia wraz z informacją o kwalifikacjach zawodowych lub doświadczeniu tych osób: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celu wykazania braku podstaw do wykluczenia w oparciu o art. 24 ust. 5 pkt 1 ustawy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. W terminie 3 dni od zamieszczenia na stronie internetowej Zamawiającego informacji z otwarcia ofert, o której mowa w art. 86 ust. 5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Certyfikat lub inny dokument potwierdzający, że zaoferowany serwer jest zgodny z normą ISO – 9001:2008; 2. Deklarację zgodności CE; 3. Oświadczenie Wykonawcy, że zaoferowany serwer znajduje się na liście Windows Server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i posiada status „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Certified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for Windows” dla systemów Microsoft Windows 2012 R2, Windows Server 2016” wraz ze wskazaniem linku do strony Windows Server </w:t>
      </w:r>
      <w:proofErr w:type="spellStart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Catalog</w:t>
      </w:r>
      <w:proofErr w:type="spellEnd"/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Złożenie oferty wariantowej dopuszcza się tylko z jednoczesnym złożeniem oferty zasadniczej: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W ramach umowy ramowej/dynamicznego systemu zakupów dopuszcza się złożenie ofert w formie katalogów elektronicznych: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Czas trwania: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5F03E6" w:rsidRPr="005F03E6" w:rsidTr="005F03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F03E6" w:rsidRPr="005F03E6" w:rsidTr="005F03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5F03E6" w:rsidRPr="005F03E6" w:rsidTr="005F03E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IV.3.2) Informacje na temat dialogu konkurencyjnego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Wymagania dotyczące rejestracji i identyfikacji wykonawców w licytacji elektronicznej, w tym wymagania techniczne urządzeń informatycznych: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Zamawiający, zgodnie z art. 144 Ustawy,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jeżeli w czasie obowiązywania umowy nastąpi zmiana ustawowej stawki podatku od towarów i usług (VAT), Strony dokonają odpowiedniej zmiany wynagrodzenia umownego. 5) W przypadku wskazanym w §4 ust.3. 2. Zmiana umowy dla swej ważności wymaga zachowania formy pisemnej w postaci aneksu podpisanego przez obie Strony.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F03E6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2018-09-28, godzina: 10:00,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IV.6.3) Termin związania ofertą: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F03E6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F03E6" w:rsidRPr="005F03E6" w:rsidRDefault="005F03E6" w:rsidP="005F03E6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F03E6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F03E6" w:rsidRPr="005F03E6" w:rsidRDefault="005F03E6" w:rsidP="005F03E6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F03E6" w:rsidRPr="005F03E6" w:rsidRDefault="005F03E6" w:rsidP="005F03E6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F03E6" w:rsidRPr="005F03E6" w:rsidRDefault="005F03E6" w:rsidP="005F03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F03E6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5F03E6" w:rsidRPr="005F03E6" w:rsidTr="005F03E6">
        <w:trPr>
          <w:tblCellSpacing w:w="15" w:type="dxa"/>
        </w:trPr>
        <w:tc>
          <w:tcPr>
            <w:tcW w:w="0" w:type="auto"/>
            <w:vAlign w:val="center"/>
            <w:hideMark/>
          </w:tcPr>
          <w:p w:rsidR="005F03E6" w:rsidRPr="005F03E6" w:rsidRDefault="005F03E6" w:rsidP="005F03E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F03E6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3E6"/>
    <w:rsid w:val="005F03E6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026399-85A9-40AD-998F-4742B9027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15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80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79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11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635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90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66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904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49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393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4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188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148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45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6198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13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0021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559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07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856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999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07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0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9393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78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5863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523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8095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8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27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134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223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78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576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73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774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3690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00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2718</Words>
  <Characters>16314</Characters>
  <Application>Microsoft Office Word</Application>
  <DocSecurity>0</DocSecurity>
  <Lines>135</Lines>
  <Paragraphs>37</Paragraphs>
  <ScaleCrop>false</ScaleCrop>
  <Company/>
  <LinksUpToDate>false</LinksUpToDate>
  <CharactersWithSpaces>18995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2018-09-20T11:21:00Z</dcterms:created>
  <dcterms:modified xsi:type="dcterms:W3CDTF">2018-09-20T11:22:00Z</dcterms:modified>
</cp:coreProperties>
</file>