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D736F3">
        <w:rPr>
          <w:rFonts w:asciiTheme="minorHAnsi" w:eastAsia="Times New Roman" w:hAnsiTheme="minorHAnsi" w:cs="Arial"/>
          <w:sz w:val="22"/>
          <w:szCs w:val="22"/>
          <w:lang w:eastAsia="ar-SA"/>
        </w:rPr>
        <w:t>Bydgoszcz, dn. 21</w:t>
      </w:r>
      <w:bookmarkStart w:id="0" w:name="_GoBack"/>
      <w:bookmarkEnd w:id="0"/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09. 2018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nr: UKW/DZP-281-R-53/2018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752B14" w:rsidRPr="000A4B5A" w:rsidRDefault="00566BC5" w:rsidP="000A4B5A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752B14" w:rsidRPr="00752B14" w:rsidRDefault="00752B14" w:rsidP="00752B14">
      <w:pPr>
        <w:tabs>
          <w:tab w:val="num" w:pos="0"/>
        </w:tabs>
        <w:spacing w:line="360" w:lineRule="auto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sz w:val="22"/>
          <w:szCs w:val="22"/>
        </w:rPr>
        <w:t>W opisie (str. 2 i 3) instalacji wentylacji mowa jest o tym, że  dodatkowo w labora</w:t>
      </w:r>
      <w:r>
        <w:rPr>
          <w:rFonts w:asciiTheme="minorHAnsi" w:eastAsia="Arial" w:hAnsiTheme="minorHAnsi" w:cs="Arial"/>
          <w:sz w:val="22"/>
          <w:szCs w:val="22"/>
        </w:rPr>
        <w:t xml:space="preserve">torium chemicznym </w:t>
      </w:r>
      <w:r w:rsidRPr="00752B14">
        <w:rPr>
          <w:rFonts w:asciiTheme="minorHAnsi" w:eastAsia="Arial" w:hAnsiTheme="minorHAnsi" w:cs="Arial"/>
          <w:sz w:val="22"/>
          <w:szCs w:val="22"/>
        </w:rPr>
        <w:t>zain</w:t>
      </w:r>
      <w:r>
        <w:rPr>
          <w:rFonts w:asciiTheme="minorHAnsi" w:eastAsia="Arial" w:hAnsiTheme="minorHAnsi" w:cs="Arial"/>
          <w:sz w:val="22"/>
          <w:szCs w:val="22"/>
        </w:rPr>
        <w:t xml:space="preserve">stalowane zostanie dygestorium. </w:t>
      </w:r>
      <w:r w:rsidRPr="00752B14">
        <w:rPr>
          <w:rFonts w:asciiTheme="minorHAnsi" w:eastAsia="Arial" w:hAnsiTheme="minorHAnsi" w:cs="Arial"/>
          <w:sz w:val="22"/>
          <w:szCs w:val="22"/>
        </w:rPr>
        <w:t>Dygestorium  będzie  zaopatrzone  w  wentylator  dachowy  FDvF1</w:t>
      </w:r>
      <w:r>
        <w:rPr>
          <w:rFonts w:asciiTheme="minorHAnsi" w:eastAsia="Arial" w:hAnsiTheme="minorHAnsi" w:cs="Arial"/>
          <w:sz w:val="22"/>
          <w:szCs w:val="22"/>
        </w:rPr>
        <w:t xml:space="preserve">40 (chemoodporny)  o wydajności ok  420 m 3 /godz. </w:t>
      </w:r>
      <w:r w:rsidRPr="00752B14">
        <w:rPr>
          <w:rFonts w:asciiTheme="minorHAnsi" w:eastAsia="Arial" w:hAnsiTheme="minorHAnsi" w:cs="Arial"/>
          <w:sz w:val="22"/>
          <w:szCs w:val="22"/>
        </w:rPr>
        <w:t>Prosimy o podanie danych technicznych dygestorium – w przedmiarze na wyposażenie podano jedynie wymiary: 60x120 cm.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F9180A" w:rsidRPr="00F9180A" w:rsidRDefault="00752B14" w:rsidP="00F9180A">
      <w:pPr>
        <w:tabs>
          <w:tab w:val="num" w:pos="0"/>
        </w:tabs>
        <w:spacing w:line="360" w:lineRule="auto"/>
        <w:jc w:val="both"/>
        <w:rPr>
          <w:rFonts w:ascii="Calibri" w:hAnsi="Calibri"/>
          <w:sz w:val="22"/>
          <w:szCs w:val="22"/>
        </w:rPr>
      </w:pPr>
      <w:r w:rsidRPr="00752B14"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Dygestorium typowe dla szkolnych pracowni chemicznych.</w:t>
      </w:r>
    </w:p>
    <w:p w:rsidR="00F9180A" w:rsidRDefault="00F9180A" w:rsidP="00F9180A">
      <w:pPr>
        <w:tabs>
          <w:tab w:val="num" w:pos="0"/>
        </w:tabs>
        <w:spacing w:line="360" w:lineRule="auto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2</w:t>
      </w:r>
    </w:p>
    <w:p w:rsidR="00752B14" w:rsidRPr="00752B14" w:rsidRDefault="00752B14" w:rsidP="00752B14">
      <w:pPr>
        <w:spacing w:line="360" w:lineRule="auto"/>
        <w:jc w:val="both"/>
        <w:rPr>
          <w:rFonts w:asciiTheme="minorHAnsi" w:hAnsiTheme="minorHAnsi"/>
        </w:rPr>
      </w:pPr>
      <w:r w:rsidRPr="00752B14">
        <w:rPr>
          <w:rFonts w:asciiTheme="minorHAnsi" w:eastAsia="Arial" w:hAnsiTheme="minorHAnsi" w:cs="Arial"/>
          <w:sz w:val="22"/>
          <w:szCs w:val="22"/>
        </w:rPr>
        <w:t xml:space="preserve">W projekcie wentylacji  zawarto specyfikację materiałów wentylacji mechanicznej. Z central pracujących w piwnicy wyrzuty są realizowane za pomocą kanałów wyrzutowych 400*400 oraz 400*250. Brak tych kanałów w powyższej specyfikacji. Czy zamawiający uwzględnił przedmiotowe kanały w załączonych przedmiarach? </w:t>
      </w:r>
      <w:r>
        <w:rPr>
          <w:rFonts w:asciiTheme="minorHAnsi" w:hAnsiTheme="minorHAnsi"/>
        </w:rPr>
        <w:t xml:space="preserve"> 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Przedmiary mają jedynie charakter informacyjny i nie są zestawieniem planowanych robót, należy je traktować tylko jako element pomocniczy do wyceny wartości zamówienia i można w nich dokonywać zmian bez zgody Zamawiającego.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3</w:t>
      </w:r>
    </w:p>
    <w:p w:rsidR="00752B14" w:rsidRPr="00752B14" w:rsidRDefault="00752B14" w:rsidP="00752B14">
      <w:pPr>
        <w:spacing w:line="360" w:lineRule="auto"/>
        <w:jc w:val="both"/>
        <w:rPr>
          <w:rFonts w:asciiTheme="minorHAnsi" w:hAnsiTheme="minorHAnsi"/>
        </w:rPr>
      </w:pPr>
      <w:r w:rsidRPr="00752B14">
        <w:rPr>
          <w:rFonts w:asciiTheme="minorHAnsi" w:eastAsia="Arial" w:hAnsiTheme="minorHAnsi" w:cs="Arial"/>
          <w:sz w:val="22"/>
          <w:szCs w:val="22"/>
        </w:rPr>
        <w:t xml:space="preserve">Czy przejścia dachowe dla kanałów wyrzutowych mają być wykonane  przez dach za pomocą podstaw dachowych  (brak podstaw dachowych w projekcie  i przedmiarach). Czy należy je uwzględnić w </w:t>
      </w:r>
      <w:r w:rsidRPr="00752B14">
        <w:rPr>
          <w:rFonts w:asciiTheme="minorHAnsi" w:eastAsia="Arial" w:hAnsiTheme="minorHAnsi" w:cs="Arial"/>
          <w:sz w:val="22"/>
          <w:szCs w:val="22"/>
        </w:rPr>
        <w:lastRenderedPageBreak/>
        <w:t>ofercie?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752B14" w:rsidRP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="Courier New" w:hAnsi="Courier New" w:cs="Courier New"/>
          <w:color w:val="000000"/>
          <w:sz w:val="27"/>
          <w:szCs w:val="27"/>
          <w:shd w:val="clear" w:color="auto" w:fill="FFFFFF"/>
        </w:rPr>
        <w:t> </w:t>
      </w: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Tak. Uwzględnione w projekcie branży sanitarnej - Wentylacja i klimatyzacja pkt 5 zestawienie materiałów i urządzeń wentylacyjnych oraz na rys. nr PW_S06</w:t>
      </w:r>
    </w:p>
    <w:p w:rsidR="00752B14" w:rsidRP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4</w:t>
      </w:r>
    </w:p>
    <w:p w:rsidR="000A4B5A" w:rsidRPr="000A4B5A" w:rsidRDefault="000A4B5A" w:rsidP="000A4B5A">
      <w:pPr>
        <w:spacing w:line="360" w:lineRule="auto"/>
        <w:jc w:val="both"/>
        <w:rPr>
          <w:rFonts w:asciiTheme="minorHAnsi" w:hAnsiTheme="minorHAnsi"/>
        </w:rPr>
      </w:pPr>
      <w:r w:rsidRPr="000A4B5A">
        <w:rPr>
          <w:rFonts w:asciiTheme="minorHAnsi" w:eastAsia="Arial" w:hAnsiTheme="minorHAnsi" w:cs="Arial"/>
          <w:sz w:val="22"/>
          <w:szCs w:val="22"/>
        </w:rPr>
        <w:t xml:space="preserve">Czy na etapie projektowania była wykonywana </w:t>
      </w:r>
      <w:r w:rsidRPr="000A4B5A">
        <w:rPr>
          <w:rFonts w:asciiTheme="minorHAnsi" w:eastAsia="Arial" w:hAnsiTheme="minorHAnsi" w:cs="Arial"/>
          <w:sz w:val="22"/>
          <w:szCs w:val="22"/>
        </w:rPr>
        <w:t>ekspertyza</w:t>
      </w:r>
      <w:r w:rsidRPr="000A4B5A">
        <w:rPr>
          <w:rFonts w:asciiTheme="minorHAnsi" w:eastAsia="Arial" w:hAnsiTheme="minorHAnsi" w:cs="Arial"/>
          <w:sz w:val="22"/>
          <w:szCs w:val="22"/>
        </w:rPr>
        <w:t xml:space="preserve"> kominiarska dla istniejących kanałów grawitacyjnych,  w które mają być wpięte poziome kanały wentylacyjne i uszczelnione rękawem ALUFOL. Jeżeli tak to prosimy o udostępnienie.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Zamawiający udostępni ekspertyzę na stronie 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internetowej w zakładce </w:t>
      </w: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ZP.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5</w:t>
      </w:r>
    </w:p>
    <w:p w:rsidR="000A4B5A" w:rsidRPr="000A4B5A" w:rsidRDefault="000A4B5A" w:rsidP="000A4B5A">
      <w:pPr>
        <w:spacing w:line="360" w:lineRule="auto"/>
        <w:jc w:val="both"/>
        <w:rPr>
          <w:rFonts w:asciiTheme="minorHAnsi" w:hAnsiTheme="minorHAnsi"/>
        </w:rPr>
      </w:pPr>
      <w:r w:rsidRPr="000A4B5A">
        <w:rPr>
          <w:rFonts w:asciiTheme="minorHAnsi" w:eastAsia="Arial" w:hAnsiTheme="minorHAnsi" w:cs="Arial"/>
          <w:sz w:val="22"/>
          <w:szCs w:val="22"/>
        </w:rPr>
        <w:t>Czy Zamawiający dysponuje inwentaryzacją budynku?  Jeżeli tak to prosimy o udostępnienie.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0A4B5A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Zamawiający</w:t>
      </w:r>
      <w:r w:rsidRPr="000A4B5A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nie posiada</w:t>
      </w:r>
      <w:r w:rsidRPr="000A4B5A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dokumentu inwentaryzacji budynku</w:t>
      </w:r>
      <w:r w:rsidRPr="000A4B5A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.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0A4B5A" w:rsidRDefault="000A4B5A" w:rsidP="000A4B5A">
      <w:pPr>
        <w:tabs>
          <w:tab w:val="num" w:pos="0"/>
        </w:tabs>
        <w:spacing w:line="360" w:lineRule="auto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6</w:t>
      </w:r>
    </w:p>
    <w:p w:rsidR="000A4B5A" w:rsidRDefault="000A4B5A" w:rsidP="000A4B5A">
      <w:pPr>
        <w:tabs>
          <w:tab w:val="num" w:pos="0"/>
        </w:tabs>
        <w:spacing w:line="360" w:lineRule="auto"/>
        <w:rPr>
          <w:rFonts w:asciiTheme="minorHAnsi" w:eastAsia="Arial" w:hAnsiTheme="minorHAnsi" w:cs="Arial"/>
          <w:b/>
          <w:sz w:val="22"/>
          <w:szCs w:val="22"/>
        </w:rPr>
      </w:pPr>
      <w:r w:rsidRPr="000A4B5A">
        <w:rPr>
          <w:rFonts w:asciiTheme="minorHAnsi" w:eastAsia="Arial" w:hAnsiTheme="minorHAnsi" w:cs="Arial"/>
          <w:sz w:val="22"/>
          <w:szCs w:val="22"/>
        </w:rPr>
        <w:t xml:space="preserve">W dokumentacji zamieszczonej na stronie Zamawiającego w dniu 19.09.2018 r. w części dotyczącej architektury zamieszczono 2 pliki. Jeden zawiera projekt aranżacji wnętrz a </w:t>
      </w:r>
      <w:r>
        <w:rPr>
          <w:rFonts w:asciiTheme="minorHAnsi" w:eastAsia="Arial" w:hAnsiTheme="minorHAnsi" w:cs="Arial"/>
          <w:sz w:val="22"/>
          <w:szCs w:val="22"/>
        </w:rPr>
        <w:t xml:space="preserve">drugi jest „pusty”. Prosimy </w:t>
      </w:r>
      <w:r w:rsidRPr="000A4B5A">
        <w:rPr>
          <w:rFonts w:asciiTheme="minorHAnsi" w:eastAsia="Arial" w:hAnsiTheme="minorHAnsi" w:cs="Arial"/>
          <w:sz w:val="22"/>
          <w:szCs w:val="22"/>
        </w:rPr>
        <w:t>o jego  uzupełnienie.</w:t>
      </w:r>
      <w:r w:rsidRPr="000A4B5A">
        <w:rPr>
          <w:rFonts w:asciiTheme="minorHAnsi" w:eastAsia="Arial" w:hAnsiTheme="minorHAnsi" w:cs="Arial"/>
          <w:sz w:val="22"/>
          <w:szCs w:val="22"/>
        </w:rPr>
        <w:br/>
      </w: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0A4B5A" w:rsidRDefault="000A4B5A" w:rsidP="000A4B5A">
      <w:pPr>
        <w:pStyle w:val="Akapitzlist"/>
        <w:spacing w:line="360" w:lineRule="auto"/>
        <w:ind w:left="0"/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eastAsia="Arial" w:hAnsiTheme="minorHAnsi" w:cs="Arial"/>
          <w:sz w:val="22"/>
          <w:szCs w:val="22"/>
        </w:rPr>
        <w:t>Zamawiający uzupełnił plik.</w:t>
      </w:r>
      <w:r w:rsidRPr="000A4B5A">
        <w:rPr>
          <w:rFonts w:asciiTheme="minorHAnsi" w:eastAsia="Arial" w:hAnsiTheme="minorHAnsi" w:cs="Arial"/>
          <w:sz w:val="22"/>
          <w:szCs w:val="22"/>
        </w:rPr>
        <w:br/>
      </w:r>
    </w:p>
    <w:p w:rsidR="000A4B5A" w:rsidRPr="00F9180A" w:rsidRDefault="000A4B5A" w:rsidP="000A4B5A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Pytanie nr 7</w:t>
      </w:r>
    </w:p>
    <w:p w:rsidR="000A4B5A" w:rsidRPr="00F9180A" w:rsidRDefault="000A4B5A" w:rsidP="000A4B5A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9180A">
        <w:rPr>
          <w:rFonts w:asciiTheme="minorHAnsi" w:eastAsia="Arial" w:hAnsiTheme="minorHAnsi" w:cs="Arial"/>
          <w:sz w:val="22"/>
          <w:szCs w:val="22"/>
        </w:rPr>
        <w:t xml:space="preserve">Prosimy o rozważenie zasadności żądania od podwykonawców polisy OC na kwotę 5.000.000,00  zł,  </w:t>
      </w:r>
      <w:proofErr w:type="spellStart"/>
      <w:r w:rsidRPr="00F9180A">
        <w:rPr>
          <w:rFonts w:asciiTheme="minorHAnsi" w:eastAsia="Arial" w:hAnsiTheme="minorHAnsi" w:cs="Arial"/>
          <w:sz w:val="22"/>
          <w:szCs w:val="22"/>
        </w:rPr>
        <w:t>t.j</w:t>
      </w:r>
      <w:proofErr w:type="spellEnd"/>
      <w:r w:rsidRPr="00F9180A">
        <w:rPr>
          <w:rFonts w:asciiTheme="minorHAnsi" w:eastAsia="Arial" w:hAnsiTheme="minorHAnsi" w:cs="Arial"/>
          <w:sz w:val="22"/>
          <w:szCs w:val="22"/>
        </w:rPr>
        <w:t xml:space="preserve">. o takiej wartości jak od wykonawcy. Należy brać pod uwagę fakt, że podwykonawcy mogą wykonywać tylko małą cześć zamówienia i żądanie polisy o wartości  5.000.000,00 zł jest nieadekwatne do wartości wykonanego zamówienia. 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F9180A">
        <w:rPr>
          <w:rFonts w:asciiTheme="minorHAnsi" w:eastAsia="Arial" w:hAnsiTheme="minorHAnsi" w:cs="Arial"/>
          <w:sz w:val="22"/>
          <w:szCs w:val="22"/>
        </w:rPr>
        <w:t xml:space="preserve">Dodatkowo wg naszej wiedzy brak jest podstaw do żądania polisy OC od podwykonawców, któremu wykonawca zamierza powierzyć  wykonanie części zamówienia. </w:t>
      </w:r>
      <w:r w:rsidRPr="00F9180A">
        <w:rPr>
          <w:rFonts w:asciiTheme="minorHAnsi" w:eastAsia="Arial" w:hAnsiTheme="minorHAnsi" w:cs="Arial"/>
          <w:b/>
          <w:bCs/>
          <w:sz w:val="22"/>
          <w:szCs w:val="22"/>
        </w:rPr>
        <w:t xml:space="preserve"> </w:t>
      </w:r>
      <w:r w:rsidRPr="00F9180A">
        <w:rPr>
          <w:rFonts w:asciiTheme="minorHAnsi" w:eastAsia="Arial" w:hAnsiTheme="minorHAnsi" w:cs="Arial"/>
          <w:i/>
          <w:iCs/>
          <w:sz w:val="22"/>
          <w:szCs w:val="22"/>
        </w:rPr>
        <w:t>Rozporządzenie Ministra Rozwoju z dnia 26 lipca 2016 r. w sprawie rodzaju dokumentów, jakich może żądać zamawiający od wykonawcy w postępowaniu o udzielenie zamówienia</w:t>
      </w:r>
      <w:r w:rsidRPr="00F9180A">
        <w:rPr>
          <w:rFonts w:asciiTheme="minorHAnsi" w:eastAsia="Arial" w:hAnsiTheme="minorHAnsi" w:cs="Arial"/>
          <w:sz w:val="22"/>
          <w:szCs w:val="22"/>
        </w:rPr>
        <w:t xml:space="preserve"> – w § 9 ust. 2 i 3  oraz § 5 pkt 1-9 mówi o rodzaju dokumentów, jakie Zamawiający może żądać od wykonawcy a dotyczących podwykonawcy, któremu wykonawca zamierza powierzyć  wykonanie części zamówienia,</w:t>
      </w:r>
      <w:r w:rsidRPr="00F9180A">
        <w:rPr>
          <w:rFonts w:asciiTheme="minorHAnsi" w:eastAsia="Arial" w:hAnsiTheme="minorHAnsi" w:cs="Arial"/>
          <w:b/>
          <w:bCs/>
          <w:sz w:val="22"/>
          <w:szCs w:val="22"/>
        </w:rPr>
        <w:t xml:space="preserve"> </w:t>
      </w:r>
      <w:r w:rsidRPr="00F9180A">
        <w:rPr>
          <w:rFonts w:asciiTheme="minorHAnsi" w:eastAsia="Arial" w:hAnsiTheme="minorHAnsi" w:cs="Arial"/>
          <w:sz w:val="22"/>
          <w:szCs w:val="22"/>
        </w:rPr>
        <w:t>a który jest (§ 9 ust. 2)  lub nie jest (§</w:t>
      </w:r>
      <w:r>
        <w:rPr>
          <w:rFonts w:asciiTheme="minorHAnsi" w:eastAsia="Arial" w:hAnsiTheme="minorHAnsi" w:cs="Arial"/>
          <w:sz w:val="22"/>
          <w:szCs w:val="22"/>
        </w:rPr>
        <w:t xml:space="preserve"> </w:t>
      </w:r>
      <w:r w:rsidRPr="00F9180A">
        <w:rPr>
          <w:rFonts w:asciiTheme="minorHAnsi" w:eastAsia="Arial" w:hAnsiTheme="minorHAnsi" w:cs="Arial"/>
          <w:sz w:val="22"/>
          <w:szCs w:val="22"/>
        </w:rPr>
        <w:lastRenderedPageBreak/>
        <w:t>9 ust. 3) podmiotem, na którego zdolnościach  lub sytuacji wykonawca</w:t>
      </w:r>
      <w:r>
        <w:rPr>
          <w:rFonts w:asciiTheme="minorHAnsi" w:eastAsia="Arial" w:hAnsiTheme="minorHAnsi" w:cs="Arial"/>
          <w:sz w:val="22"/>
          <w:szCs w:val="22"/>
        </w:rPr>
        <w:t xml:space="preserve"> polega na zasadach określonych wart.22austawyP</w:t>
      </w:r>
      <w:r w:rsidRPr="00F9180A">
        <w:rPr>
          <w:rFonts w:asciiTheme="minorHAnsi" w:eastAsia="Arial" w:hAnsiTheme="minorHAnsi" w:cs="Arial"/>
          <w:sz w:val="22"/>
          <w:szCs w:val="22"/>
        </w:rPr>
        <w:t>zp.</w:t>
      </w:r>
      <w:r w:rsidRPr="00F9180A">
        <w:rPr>
          <w:rFonts w:asciiTheme="minorHAnsi" w:eastAsia="Arial" w:hAnsiTheme="minorHAnsi" w:cs="Arial"/>
          <w:b/>
          <w:bCs/>
          <w:sz w:val="22"/>
          <w:szCs w:val="22"/>
        </w:rPr>
        <w:br/>
      </w:r>
      <w:r>
        <w:rPr>
          <w:rFonts w:asciiTheme="minorHAnsi" w:hAnsiTheme="minorHAnsi"/>
          <w:b/>
          <w:sz w:val="22"/>
          <w:szCs w:val="22"/>
          <w:u w:val="single"/>
        </w:rPr>
        <w:t>Odpowiedź:</w:t>
      </w:r>
    </w:p>
    <w:p w:rsidR="000A4B5A" w:rsidRPr="00F9180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52B14">
        <w:rPr>
          <w:rFonts w:asciiTheme="minorHAnsi" w:hAnsiTheme="minorHAnsi"/>
          <w:sz w:val="22"/>
          <w:szCs w:val="22"/>
        </w:rPr>
        <w:t>W</w:t>
      </w: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 wstępnym. Jest to obligatoryjne. W postępowaniach o wartości poniżej progów unijnych zamawiający może wezwać wykonawcę, którego oferta została najwyżej oceniona, do złożenia w wyznaczonym, nie krótszym niż 5 dni, terminie aktualnych na dzień złożenia oświadczeń lub dokumentów potwierdzających okoliczności, o których mowa w art. 25 ust. 1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.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Dodatkowo na podstawie art. 22a ust. 3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 zamawiający:</w:t>
      </w:r>
    </w:p>
    <w:p w:rsidR="000A4B5A" w:rsidRPr="00F9180A" w:rsidRDefault="000A4B5A" w:rsidP="000A4B5A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ocenia, czy udostępniane wykonawcy przez inne podmioty zdolności techniczne lub zawodowe lub ich sytuacja finansowa lub ekonomiczna, pozwalają na wykazanie przez wykonawcę spełniania warunków udziału w postępowaniu oraz</w:t>
      </w:r>
    </w:p>
    <w:p w:rsidR="000A4B5A" w:rsidRPr="00F9180A" w:rsidRDefault="000A4B5A" w:rsidP="000A4B5A">
      <w:pPr>
        <w:widowControl/>
        <w:numPr>
          <w:ilvl w:val="0"/>
          <w:numId w:val="4"/>
        </w:numPr>
        <w:shd w:val="clear" w:color="auto" w:fill="FFFFFF"/>
        <w:suppressAutoHyphens w:val="0"/>
        <w:spacing w:before="100" w:beforeAutospacing="1" w:after="100" w:afterAutospacing="1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bada, czy nie zachodzą wobec tego podmiotu podstawy wykluczenia, o których mowa w art. 24 ust. 1 pkt 13–22 i ust. 5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.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W tym kontekście warto zacytować opinię Urząd Zamówień Publicznych  „W świetle przepisów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, ocena czy w stosunku do podmiotu trzeciego udostępniającego swój potencjał, realizują się przesłanki wykluczenia określone w art. 24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, powinna przebiegać w oparciu o takie same zasady, jakie dotyczą wykonawcy, który tym potencjałem się posługuje. Tym samym, jeżeli zamawiający w toku postępowania o udzielenie zamówienia publicznego nie bada podstaw do wykluczenia, o których mowa w art. 24 ust. 5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 w stosunku do wykonawcy, nie może zweryfikować w tym zakresie podmiotu trzeciego i żądać przedstawienia przez ten podmiot odpowiednich dokumentów. Analogiczna reguła ma zastosowanie do wszystkich przesłanek dotyczących braku podstaw do wykluczenia – jeśli nie żądał w postępowaniu przedłożenia określonych dokumentów podmiotowych od wykonawcy, obowiązek ich przedłożenia nie dotyczy także podmiotu trzeciego”.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W odniesieniu do podmiotów trzecich istotne jest uregulowanie wynikające z § 9 ust. 2 rozporządzenia w sprawie dokumentów. Wynika z niego, że zamawiający żąda od wykonawcy, który polega na zdolnościach lub sytuacji innych podmiotów na zasadach określonych w art. 22a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 przedstawienia w odniesieniu do tych podmiotów dokumentów wymienionych w § 5 pkt 1–9 tj.: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1)      informacji z KRK w zakresie określonym w art. 24 ust. 1 pkt 13, 14 i 21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 oraz, odnośnie skazania za wykroczenie na karę aresztu, w zakresie określonym przez zamawiającego na podstawie </w:t>
      </w: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lastRenderedPageBreak/>
        <w:t xml:space="preserve">art. 24 ust. 5 pkt 5 i 6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 wystawionej nie wcześniej niż 6 miesięcy przed upływem terminu składania ofert albo wniosków o dopuszczenie do udziału w postępowaniu,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2)      zaświadczenia właściwego naczelnika urzędu skarbowego potwierdzającego, że wykonawca nie zalega z opłacaniem podatków, wystawionego nie wcześniej niż 3 miesiące przed upływem terminu składania ofert albo wniosków o dopuszczenie do udziału w postępowaniu, lub innego dokumentu potwierdzającego, że wykonawca zawarł porozumienie z właściwym organem podatkowym w sprawie spłat tych należności wraz z ewentualnymi odsetkami lub grzywnami, w szczególności uzyskał przewidziane prawem zwolnienie, odroczenie lub rozłożenie na raty zaległych płatności lub wstrzymanie w całości wykonania decyzji właściwego organu,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3)      zaświadczenia właściwej terenowej jednostki organizacyjnej ZUS lub KRUS albo innego dokumentu potwierdzającego, że wykonawca nie zalega z opłacaniem składek na ubezpieczenia społeczne lub zdrowotne, wystawionego nie wcześniej niż 3 miesiące przed upływem terminu składania ofert albo wniosków o dopuszczenie do udziału w postępowaniu, lub innego dokumentu potwierdzającego, że wykonawca zawarł porozumienie z właściwym organem w sprawie spłat tych należności wraz z ewentualnymi odsetkami lub grzywnami, w szczególności uzyskał przewidziane prawem zwolnienie, odroczenie lub rozłożenie na raty zaległych płatności lub wstrzymanie w całości wykonania decyzji właściwego organu,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4)      odpisu z właściwego rejestru lub z centralnej ewidencji i informacji o działalności gospodarczej, jeżeli odrębne przepisy wymagają wpisu do rejestru lub ewidencji, w celu potwierdzenia braku podstaw wykluczenia na podstawie art. 24 ust. 5 pkt 1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5)      oświadczenia wykonawcy o braku wydania wobec niego prawomocnego wyroku sądu lub ostatecznej decyzji administracyjnej o zaleganiu z uiszczaniem podatków, opłat lub składek na ubezpieczenia społeczne lub zdrowotne albo – w przypadku wydania takiego wyroku lub decyzji – dokumentów potwierdzających dokonanie płatności tych należności wraz z ewentualnymi odsetkami lub grzywnami lub zawarcie wiążącego porozumienia w sprawie spłat tych należności,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6)      oświadczenia wykonawcy o braku orzeczenia wobec niego tytułem środka zapobiegawczego zakazu ubiegania się o zamówienia publiczne,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7)      oświadczenia wykonawcy o braku wydania prawomocnego wyroku sądu skazującego za wykroczenie na karę ograniczenia wolności lub grzywny w zakresie określonym przez zamawiającego na podstawie art. 24 ust. 5 pkt 5 i 6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8)      oświadczenia wykonawcy o braku wydania wobec niego ostatecznej decyzji administracyjnej o naruszeniu obowiązków wynikających z przepisów prawa pracy, prawa ochrony środowiska lub </w:t>
      </w: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lastRenderedPageBreak/>
        <w:t xml:space="preserve">przepisów o zabezpieczeniu społecznym w zakresie określonym przez zamawiającego na podstawie art. 24 ust. 5 pkt 7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9)      oświadczenia wykonawcy o niezaleganiu z opłacaniem podatków i opłat lokalnych, o których mowa w ustawie z 12 stycznia 1991 r. o podatkach i opłatach lokalnych (Dz. U. z 2016 r. poz. 716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Z kolei w odniesieniu do podwykonawców, zgodnie z art. 25 a ust. 5 pkt 2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, obowiązek zamieszczenia informacji o podwykonawcach w oświadczeniu wstępnym wykonawcy jest uzależniony od decyzji zamawiającego w tym zakresie.</w:t>
      </w:r>
    </w:p>
    <w:p w:rsidR="000A4B5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 xml:space="preserve">Podobnie obowiązek wpisany w § 9 ust. 3 rozporządzenia w sprawie dokumentów wskazuje na to, że zamawiający może żądać od wykonawcy przedstawienia dokumentów wymienionych w § 5 pkt 1–9 dotyczących podwykonawcy, któremu zamierza powierzyć wykonanie części zamówienia, a który nie jest podmiotem, na którego zdolnościach lub sytuacji wykonawca polega na zasadach określonych w art. 22a ustawy </w:t>
      </w:r>
      <w:proofErr w:type="spellStart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Pzp</w:t>
      </w:r>
      <w:proofErr w:type="spellEnd"/>
      <w:r w:rsidRPr="00F9180A">
        <w:rPr>
          <w:rFonts w:asciiTheme="minorHAnsi" w:eastAsia="Times New Roman" w:hAnsiTheme="minorHAnsi"/>
          <w:sz w:val="22"/>
          <w:szCs w:val="22"/>
          <w:lang w:eastAsia="pl-PL"/>
        </w:rPr>
        <w:t>.</w:t>
      </w:r>
    </w:p>
    <w:p w:rsidR="000A4B5A" w:rsidRPr="00F9180A" w:rsidRDefault="000A4B5A" w:rsidP="000A4B5A">
      <w:pPr>
        <w:widowControl/>
        <w:shd w:val="clear" w:color="auto" w:fill="FFFFFF"/>
        <w:suppressAutoHyphens w:val="0"/>
        <w:spacing w:after="150" w:line="360" w:lineRule="auto"/>
        <w:jc w:val="both"/>
        <w:rPr>
          <w:rFonts w:asciiTheme="minorHAnsi" w:eastAsia="Times New Roman" w:hAnsiTheme="minorHAnsi"/>
          <w:sz w:val="22"/>
          <w:szCs w:val="22"/>
          <w:lang w:eastAsia="pl-PL"/>
        </w:rPr>
      </w:pPr>
      <w:r>
        <w:rPr>
          <w:rFonts w:asciiTheme="minorHAnsi" w:eastAsia="Times New Roman" w:hAnsiTheme="minorHAnsi"/>
          <w:sz w:val="22"/>
          <w:szCs w:val="22"/>
          <w:lang w:eastAsia="pl-PL"/>
        </w:rPr>
        <w:t xml:space="preserve">W związku z powyższym zamawiający zmodyfikuje SIWZ poprzez usunięcie pkt. 7.3.10. i 7.3.11. 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p w:rsidR="000A4B5A" w:rsidRPr="00752B14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8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sz w:val="22"/>
          <w:szCs w:val="22"/>
        </w:rPr>
      </w:pPr>
      <w:r w:rsidRPr="00752B14">
        <w:rPr>
          <w:rFonts w:asciiTheme="minorHAnsi" w:eastAsia="Arial" w:hAnsiTheme="minorHAnsi" w:cs="Arial"/>
          <w:sz w:val="22"/>
          <w:szCs w:val="22"/>
        </w:rPr>
        <w:t>Czy Zamawiający dysponuje i może udostępnić ekspertyzę techniczną budynku?  Na rys. konstrukcyjnych  - rzutach – widnieją zapisy: „naprawa pęknięć w ścianach według wytycznych w EKSPERTYZIE.” Czy naprawa pęknięć w ścianach jest w zakresie oferty?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0A4B5A" w:rsidRDefault="000A4B5A" w:rsidP="000A4B5A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Zamawiający udostępni ekspertyzę na stronie 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internetowej w zakładce </w:t>
      </w:r>
      <w:r w:rsidRPr="00752B14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ZP.</w:t>
      </w:r>
    </w:p>
    <w:p w:rsidR="000A4B5A" w:rsidRPr="000A4B5A" w:rsidRDefault="000A4B5A" w:rsidP="000A4B5A">
      <w:pPr>
        <w:tabs>
          <w:tab w:val="num" w:pos="0"/>
        </w:tabs>
        <w:spacing w:line="360" w:lineRule="auto"/>
        <w:rPr>
          <w:rFonts w:asciiTheme="minorHAnsi" w:eastAsia="Arial" w:hAnsiTheme="minorHAnsi" w:cs="Arial"/>
          <w:b/>
          <w:sz w:val="22"/>
          <w:szCs w:val="22"/>
        </w:rPr>
      </w:pPr>
    </w:p>
    <w:p w:rsidR="00512334" w:rsidRPr="00512334" w:rsidRDefault="000A4B5A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="00512334">
        <w:rPr>
          <w:rFonts w:asciiTheme="minorHAnsi" w:hAnsiTheme="minorHAnsi"/>
          <w:i/>
          <w:sz w:val="22"/>
          <w:szCs w:val="22"/>
        </w:rPr>
        <w:t xml:space="preserve">(-) </w:t>
      </w:r>
      <w:r w:rsidR="00512334"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2C7DA3"/>
    <w:rsid w:val="003B5466"/>
    <w:rsid w:val="00460D67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52B14"/>
    <w:rsid w:val="00770049"/>
    <w:rsid w:val="00887C5D"/>
    <w:rsid w:val="009251D1"/>
    <w:rsid w:val="00960465"/>
    <w:rsid w:val="009677E9"/>
    <w:rsid w:val="00AC032E"/>
    <w:rsid w:val="00BB1F2E"/>
    <w:rsid w:val="00C41985"/>
    <w:rsid w:val="00CF3093"/>
    <w:rsid w:val="00D5792C"/>
    <w:rsid w:val="00D736F3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23A94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1501</Words>
  <Characters>9012</Characters>
  <Application>Microsoft Office Word</Application>
  <DocSecurity>0</DocSecurity>
  <Lines>75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2018-09-21T11:30:00Z</cp:lastPrinted>
  <dcterms:created xsi:type="dcterms:W3CDTF">2018-09-21T11:30:00Z</dcterms:created>
  <dcterms:modified xsi:type="dcterms:W3CDTF">2018-09-21T11:36:00Z</dcterms:modified>
</cp:coreProperties>
</file>