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bookmarkStart w:id="0" w:name="_GoBack"/>
      <w:bookmarkEnd w:id="0"/>
      <w:r>
        <w:rPr>
          <w:rFonts w:ascii="Book Antiqua" w:eastAsia="Times New Roman" w:hAnsi="Book Antiqua" w:cs="Century Gothic"/>
          <w:bCs/>
          <w:i/>
          <w:spacing w:val="4"/>
          <w:sz w:val="18"/>
          <w:szCs w:val="18"/>
          <w:lang w:eastAsia="pl-PL"/>
        </w:rPr>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9" w:type="dxa"/>
        <w:tblLayout w:type="fixed"/>
        <w:tblCellMar>
          <w:left w:w="70" w:type="dxa"/>
          <w:right w:w="70" w:type="dxa"/>
        </w:tblCellMar>
        <w:tblLook w:val="04A0" w:firstRow="1" w:lastRow="0" w:firstColumn="1" w:lastColumn="0" w:noHBand="0" w:noVBand="1"/>
      </w:tblPr>
      <w:tblGrid>
        <w:gridCol w:w="421"/>
        <w:gridCol w:w="3970"/>
        <w:gridCol w:w="1559"/>
        <w:gridCol w:w="567"/>
        <w:gridCol w:w="567"/>
        <w:gridCol w:w="992"/>
        <w:gridCol w:w="993"/>
        <w:gridCol w:w="49"/>
        <w:gridCol w:w="1227"/>
        <w:gridCol w:w="19"/>
        <w:gridCol w:w="832"/>
        <w:gridCol w:w="850"/>
        <w:gridCol w:w="19"/>
        <w:gridCol w:w="1263"/>
        <w:gridCol w:w="1701"/>
      </w:tblGrid>
      <w:tr w:rsidR="00095346" w:rsidRPr="003670DE" w:rsidTr="00C020B2">
        <w:trPr>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C020B2" w:rsidRDefault="00095346" w:rsidP="00095346">
            <w:pPr>
              <w:tabs>
                <w:tab w:val="right" w:pos="14580"/>
              </w:tabs>
              <w:spacing w:after="0" w:line="240" w:lineRule="auto"/>
              <w:jc w:val="center"/>
              <w:rPr>
                <w:rFonts w:asciiTheme="minorHAnsi" w:eastAsia="Times New Roman" w:hAnsiTheme="minorHAnsi" w:cstheme="minorHAnsi"/>
                <w:sz w:val="18"/>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095346" w:rsidRPr="00095346" w:rsidRDefault="00095346" w:rsidP="00095346">
            <w:pPr>
              <w:spacing w:after="0" w:line="240" w:lineRule="auto"/>
              <w:jc w:val="center"/>
              <w:rPr>
                <w:rFonts w:asciiTheme="minorHAnsi" w:eastAsia="Times New Roman" w:hAnsiTheme="minorHAnsi" w:cstheme="minorHAnsi"/>
                <w:spacing w:val="-4"/>
                <w:sz w:val="18"/>
                <w:szCs w:val="20"/>
                <w:lang w:eastAsia="pl-PL"/>
              </w:rPr>
            </w:pPr>
            <w:r w:rsidRPr="00095346">
              <w:rPr>
                <w:rFonts w:asciiTheme="minorHAnsi" w:eastAsia="Times New Roman" w:hAnsiTheme="minorHAnsi" w:cstheme="minorHAnsi"/>
                <w:sz w:val="18"/>
                <w:szCs w:val="20"/>
              </w:rPr>
              <w:t>Zgodne z numerem katalogowym firmy Life Technologies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3" w:type="dxa"/>
            <w:vMerge w:val="restart"/>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8" w:type="dxa"/>
            <w:gridSpan w:val="2"/>
            <w:vMerge w:val="restart"/>
            <w:tcBorders>
              <w:top w:val="single" w:sz="4" w:space="0" w:color="auto"/>
              <w:left w:val="nil"/>
              <w:right w:val="single" w:sz="4" w:space="0" w:color="auto"/>
            </w:tcBorders>
            <w:vAlign w:val="center"/>
            <w:hideMark/>
          </w:tcPr>
          <w:p w:rsidR="00095346" w:rsidRPr="002A54DE"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95346" w:rsidRPr="002A54DE"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C020B2">
        <w:trPr>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095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55CA5" w:rsidRPr="002A54DE" w:rsidRDefault="00F55CA5" w:rsidP="00095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F55CA5" w:rsidRPr="002A54DE"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F55CA5" w:rsidRPr="002A54DE" w:rsidRDefault="00F55CA5" w:rsidP="00095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095346">
            <w:pPr>
              <w:spacing w:after="0" w:line="240" w:lineRule="auto"/>
              <w:rPr>
                <w:rFonts w:asciiTheme="minorHAnsi" w:eastAsia="Times New Roman" w:hAnsiTheme="minorHAnsi" w:cstheme="minorHAnsi"/>
                <w:sz w:val="20"/>
                <w:szCs w:val="20"/>
                <w:lang w:eastAsia="pl-PL"/>
              </w:rPr>
            </w:pPr>
          </w:p>
        </w:tc>
        <w:tc>
          <w:tcPr>
            <w:tcW w:w="993" w:type="dxa"/>
            <w:vMerge/>
            <w:tcBorders>
              <w:left w:val="single" w:sz="4" w:space="0" w:color="auto"/>
              <w:bottom w:val="single" w:sz="4" w:space="0" w:color="auto"/>
              <w:right w:val="single" w:sz="4" w:space="0" w:color="auto"/>
            </w:tcBorders>
          </w:tcPr>
          <w:p w:rsidR="00F55CA5" w:rsidRPr="002A54DE" w:rsidRDefault="00F55CA5" w:rsidP="00095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095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8" w:type="dxa"/>
            <w:gridSpan w:val="2"/>
            <w:vMerge/>
            <w:tcBorders>
              <w:left w:val="nil"/>
              <w:bottom w:val="single" w:sz="4" w:space="0" w:color="auto"/>
              <w:right w:val="single" w:sz="4" w:space="0" w:color="auto"/>
            </w:tcBorders>
            <w:vAlign w:val="center"/>
            <w:hideMark/>
          </w:tcPr>
          <w:p w:rsidR="00F55CA5" w:rsidRPr="002A54DE" w:rsidRDefault="00F55CA5" w:rsidP="00095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095346">
            <w:pPr>
              <w:spacing w:after="0" w:line="240" w:lineRule="auto"/>
              <w:rPr>
                <w:rFonts w:asciiTheme="minorHAnsi" w:eastAsia="Times New Roman" w:hAnsiTheme="minorHAnsi" w:cstheme="minorHAnsi"/>
                <w:bCs/>
                <w:sz w:val="20"/>
                <w:szCs w:val="20"/>
                <w:lang w:eastAsia="pl-PL"/>
              </w:rPr>
            </w:pPr>
          </w:p>
        </w:tc>
      </w:tr>
      <w:tr w:rsidR="00095346" w:rsidRPr="003670DE" w:rsidTr="00C01EE0">
        <w:trPr>
          <w:trHeight w:val="421"/>
        </w:trPr>
        <w:tc>
          <w:tcPr>
            <w:tcW w:w="15029" w:type="dxa"/>
            <w:gridSpan w:val="15"/>
            <w:tcBorders>
              <w:top w:val="single" w:sz="4" w:space="0" w:color="auto"/>
              <w:left w:val="single" w:sz="4" w:space="0" w:color="auto"/>
              <w:bottom w:val="single" w:sz="4" w:space="0" w:color="auto"/>
              <w:right w:val="single" w:sz="4" w:space="0" w:color="auto"/>
            </w:tcBorders>
            <w:noWrap/>
          </w:tcPr>
          <w:p w:rsidR="00095346" w:rsidRPr="002A54DE" w:rsidRDefault="00095346" w:rsidP="00C01EE0">
            <w:pPr>
              <w:tabs>
                <w:tab w:val="right" w:pos="14580"/>
              </w:tabs>
              <w:spacing w:after="0" w:line="240" w:lineRule="auto"/>
              <w:jc w:val="center"/>
              <w:rPr>
                <w:rFonts w:asciiTheme="minorHAnsi" w:eastAsia="Times New Roman" w:hAnsiTheme="minorHAnsi" w:cstheme="minorHAnsi"/>
                <w:sz w:val="20"/>
                <w:szCs w:val="20"/>
                <w:lang w:eastAsia="pl-PL"/>
              </w:rPr>
            </w:pPr>
            <w:r w:rsidRPr="00095346">
              <w:rPr>
                <w:rFonts w:asciiTheme="minorHAnsi" w:eastAsia="Times New Roman" w:hAnsiTheme="minorHAnsi" w:cstheme="minorHAnsi"/>
                <w:spacing w:val="-4"/>
                <w:sz w:val="20"/>
                <w:szCs w:val="20"/>
                <w:lang w:eastAsia="pl-PL"/>
              </w:rPr>
              <w:t>Zestaw oczyszczonej pary starterów o długości do 30 nukleotydów każdy, z których jeden jest wyznakowany na 5' końcu markerem fluorescencyjnym jak: 6-FAM, TET, VIC, HEX, NED lub PET. Konfekcjonowane fabrycznie o stężeniu 10nmol każdy. Dostarczany w formie zliofilizowanej.</w:t>
            </w: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hideMark/>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hideMark/>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Tbac_1294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GTCTAACAAACCGCCTCGTG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Tbac_1294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GTCGACCGAACAATGTGACC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107"/>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Tbac_437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ATGGAAATGGCCGCTTCTG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Tbac_437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AACACAACTTGGCACTGCTC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Tbac_1085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TCCACCTCTCTTCCCATTGG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Tbac_1085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CCAACAGCGCCTCTAATCTG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Tbac_56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AATTTAGTCAACGCCGCCTC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Tbac_56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GTGACACTGGCATTGGAGTG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Tbac_1740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TTCGGTCTCTGGGCTTGAC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Tbac_1740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TGCAACCACTGGCTCAAATG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Tbac_773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AGGAATAAACACAAACGCTGC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Tbac_773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ATAGCGCTTCAAACCTTGGC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Tbac_681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TGCATCCTTACTCCCTCAGC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Tbac_681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TAGTTGGGCTTCCTCGTCAG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Tbac_1007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CCAAGGACACGAATTGGAGC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Tbac_1007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ATCACTTGCCCAACACTTGC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705"/>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Tbac_175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TCTGCGGGACTATACTGTGG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lastRenderedPageBreak/>
              <w:t xml:space="preserve">Tbac_175 -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AGGGACAAGGATAAAGTTGCAG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lastRenderedPageBreak/>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417"/>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Tbac_651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GCACTTCCGCTTCTGTACAG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Tbac_651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CCGGGTATTGGAGTCAGAGG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Tbac_1259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CTCTTACCTGCTCCCGAGAC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Tbac_1259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TAAACGCTCTTTCTCCCAGC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Tbac_1461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ATGGAGGAGAGAGTGCGTTC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Tbac_1461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AAAGGGAGCCAAGGACTCTG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Tbac_1092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GGTTCTCCGCATGCTTATCC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Tbac_1092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CTGTTGGGCTGTGTGAATGG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Tbac_2129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ACTTGCTCCGCTACAGACTC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Tbac_2129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AGGAGGGAAGTTGAAGGACC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Tbac_1172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TCATCTGCCGAGACCATTCC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Tbac_1172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AGGGACGCACTCACTTCTAC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Tbac_1811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TTCGAGGCTTGATCCACCTC–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Tbac_1811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AGAGGCCGAACATTACAGGG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Tbac_851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ACTCGAATCCCTGCTCGTAC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Tbac_851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GTAAATTGGCCCTTGGTCGG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Tbac_1814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TGGGTATCCTGCGCCTAATC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Tbac_1814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CCGTGTGTCTTTGGTTCCAC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Tbac_2004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GACTCCGAGAATGAACTGGC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Tbac_2004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AGTCTCTTCCTTGGCAGCAG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Tbac_766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TCCCAGACATTAACGAGGCC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Tbac_766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AATTGACTGTTTCTGGCGGC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Tbac_1305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AGACTGGGTTGGTGAGACAC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Tbac_1305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GCAGCAGAACCGTTATCAAC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Tbac_1475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GGCTGACCCTTCCCAACTAC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Tbac_1475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TAATAGCGGCAGGAACCCTC–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Tbac_424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ACCACTCACTAAAGCTCAGGG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Tbac_424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CTGCAGATGGTCACACGTTG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Tbac_540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TATTGCCGAGTTGATGCTGC–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Tbac_540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GGAATGAGCAGTGTCACAGC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Tbac_1114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CAGCAGTGCAGAGACAAGTG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Tbac_1114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TGGAATCCAATAGCTCCCGG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Tbac_1635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AAACATGATGACCGTTGCCC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Tbac_1635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TTCAAGGTGGGAGTGGAAGG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095346">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095346">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Tbac_1139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TGTCCTTGCTCCTCCTTGAC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NED</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Tbac_1139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GTTGAGCCCACCAATGTCAG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Tbac_720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TCGAAACTACCTACGCCCTG–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PET</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Tbac_720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TCCAACGAGATCTGCCTCTG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Tbac_455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GCATTGCGTTTCTTTGTCGG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VIC</w:t>
            </w:r>
          </w:p>
          <w:p w:rsidR="00095346" w:rsidRPr="004D546B" w:rsidRDefault="00095346" w:rsidP="00095346">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eastAsia="pl-PL"/>
              </w:rPr>
              <w:t xml:space="preserve">Tbac_455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TTGGTCCATCTGAAGGACCC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095346"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095346" w:rsidRPr="00B66297" w:rsidRDefault="00095346"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95346" w:rsidRPr="004D546B" w:rsidRDefault="00095346" w:rsidP="00095346">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Tbac_590 – F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GTCTGCTGCTGTCACCAAC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r w:rsidRPr="004D546B">
              <w:rPr>
                <w:rFonts w:asciiTheme="minorHAnsi" w:hAnsiTheme="minorHAnsi" w:cstheme="minorHAnsi"/>
                <w:sz w:val="18"/>
                <w:szCs w:val="18"/>
                <w:lang w:eastAsia="pl-PL"/>
              </w:rPr>
              <w:t xml:space="preserve">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FAM</w:t>
            </w:r>
          </w:p>
          <w:p w:rsidR="00095346" w:rsidRPr="004D546B" w:rsidRDefault="00095346" w:rsidP="00095346">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eastAsia="pl-PL"/>
              </w:rPr>
              <w:t xml:space="preserve">Tbac_590 – R  </w:t>
            </w:r>
            <w:smartTag w:uri="urn:schemas-microsoft-com:office:smarttags" w:element="metricconverter">
              <w:smartTagPr>
                <w:attr w:name="ProductID" w:val="5’"/>
              </w:smartTagPr>
              <w:r w:rsidRPr="004D546B">
                <w:rPr>
                  <w:rFonts w:asciiTheme="minorHAnsi" w:hAnsiTheme="minorHAnsi" w:cstheme="minorHAnsi"/>
                  <w:sz w:val="18"/>
                  <w:szCs w:val="18"/>
                  <w:lang w:eastAsia="pl-PL"/>
                </w:rPr>
                <w:t>5’</w:t>
              </w:r>
            </w:smartTag>
            <w:r w:rsidRPr="004D546B">
              <w:rPr>
                <w:rFonts w:asciiTheme="minorHAnsi" w:hAnsiTheme="minorHAnsi" w:cstheme="minorHAnsi"/>
                <w:sz w:val="18"/>
                <w:szCs w:val="18"/>
                <w:lang w:eastAsia="pl-PL"/>
              </w:rPr>
              <w:t xml:space="preserve"> – TTCTCTGTGCCCTTGGAGAC – </w:t>
            </w:r>
            <w:smartTag w:uri="urn:schemas-microsoft-com:office:smarttags" w:element="metricconverter">
              <w:smartTagPr>
                <w:attr w:name="ProductID" w:val="3’"/>
              </w:smartTagPr>
              <w:r w:rsidRPr="004D546B">
                <w:rPr>
                  <w:rFonts w:asciiTheme="minorHAnsi" w:hAnsiTheme="minorHAnsi" w:cstheme="minorHAnsi"/>
                  <w:sz w:val="18"/>
                  <w:szCs w:val="18"/>
                  <w:lang w:eastAsia="pl-PL"/>
                </w:rPr>
                <w:t>3’</w:t>
              </w:r>
            </w:smartTag>
          </w:p>
        </w:tc>
        <w:tc>
          <w:tcPr>
            <w:tcW w:w="1559" w:type="dxa"/>
            <w:tcBorders>
              <w:top w:val="single" w:sz="4" w:space="0" w:color="auto"/>
              <w:left w:val="nil"/>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450056</w:t>
            </w:r>
          </w:p>
        </w:tc>
        <w:tc>
          <w:tcPr>
            <w:tcW w:w="567" w:type="dxa"/>
            <w:tcBorders>
              <w:top w:val="single" w:sz="4" w:space="0" w:color="auto"/>
              <w:left w:val="single" w:sz="4" w:space="0" w:color="auto"/>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para</w:t>
            </w:r>
          </w:p>
        </w:tc>
        <w:tc>
          <w:tcPr>
            <w:tcW w:w="567" w:type="dxa"/>
            <w:tcBorders>
              <w:top w:val="single" w:sz="4" w:space="0" w:color="auto"/>
              <w:left w:val="nil"/>
              <w:bottom w:val="single" w:sz="4" w:space="0" w:color="auto"/>
              <w:right w:val="single" w:sz="4" w:space="0" w:color="auto"/>
            </w:tcBorders>
            <w:noWrap/>
            <w:vAlign w:val="center"/>
          </w:tcPr>
          <w:p w:rsidR="00095346" w:rsidRPr="004D546B" w:rsidRDefault="00095346"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95346" w:rsidRPr="004D546B" w:rsidRDefault="00095346"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28 dni</w:t>
            </w:r>
          </w:p>
        </w:tc>
        <w:tc>
          <w:tcPr>
            <w:tcW w:w="993" w:type="dxa"/>
            <w:tcBorders>
              <w:top w:val="single" w:sz="4" w:space="0" w:color="auto"/>
              <w:left w:val="single" w:sz="4" w:space="0" w:color="auto"/>
              <w:bottom w:val="single" w:sz="4" w:space="0" w:color="auto"/>
              <w:right w:val="single" w:sz="4" w:space="0" w:color="auto"/>
            </w:tcBorders>
            <w:vAlign w:val="center"/>
          </w:tcPr>
          <w:p w:rsidR="00095346" w:rsidRPr="007C77ED" w:rsidRDefault="00095346" w:rsidP="00095346">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95346" w:rsidRPr="002A54DE"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3730/3730xl POP-7 Performance Optimized Polymer 28ml</w:t>
            </w:r>
          </w:p>
          <w:p w:rsidR="004D546B" w:rsidRPr="004D546B" w:rsidRDefault="004D546B" w:rsidP="004D546B">
            <w:pPr>
              <w:spacing w:after="0" w:line="240" w:lineRule="auto"/>
              <w:rPr>
                <w:rFonts w:asciiTheme="minorHAnsi" w:hAnsiTheme="minorHAnsi" w:cstheme="minorHAnsi"/>
                <w:sz w:val="18"/>
                <w:szCs w:val="18"/>
                <w:lang w:eastAsia="pl-PL"/>
              </w:rPr>
            </w:pP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7% polimer gotowy do użycia, o właściwościach spełniających wymagania elektroforezy kapilarnej, do zastosowania jako medium separacyjne fragmentów DNA w warunkach denaturacyjnych, o usieciowaniu umożliwiającym prawidłowy rozdział fragmentów DNA długości do minimum 800bp, o </w:t>
            </w:r>
            <w:r w:rsidRPr="004D546B">
              <w:rPr>
                <w:rFonts w:asciiTheme="minorHAnsi" w:hAnsiTheme="minorHAnsi" w:cstheme="minorHAnsi"/>
                <w:sz w:val="18"/>
                <w:szCs w:val="18"/>
                <w:lang w:eastAsia="pl-PL"/>
              </w:rPr>
              <w:lastRenderedPageBreak/>
              <w:t xml:space="preserve">rozdzielczości umożliwiającej precyzyjne zwymiarowanie fragmentów (z maksymalnie dopuszczalnym błędem +/- 0,5 bp), konfekcjonowany fabrycznie </w:t>
            </w: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w opakowaniach 28ml</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lastRenderedPageBreak/>
              <w:t>4363929</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bCs/>
                <w:sz w:val="18"/>
                <w:szCs w:val="18"/>
              </w:rPr>
            </w:pPr>
            <w:r w:rsidRPr="004D546B">
              <w:rPr>
                <w:rFonts w:asciiTheme="minorHAnsi" w:hAnsiTheme="minorHAnsi" w:cstheme="minorHAnsi"/>
                <w:sz w:val="18"/>
                <w:szCs w:val="18"/>
                <w:lang w:eastAsia="pl-PL"/>
              </w:rPr>
              <w:t xml:space="preserve">MicroAmp Optical 96-well Reaction Plate, </w:t>
            </w:r>
            <w:r w:rsidRPr="004D546B">
              <w:rPr>
                <w:rFonts w:asciiTheme="minorHAnsi" w:hAnsiTheme="minorHAnsi" w:cstheme="minorHAnsi"/>
                <w:bCs/>
                <w:sz w:val="18"/>
                <w:szCs w:val="18"/>
              </w:rPr>
              <w:t>10szt w opak.</w:t>
            </w:r>
          </w:p>
          <w:p w:rsidR="004D546B" w:rsidRPr="004D546B" w:rsidRDefault="004D546B" w:rsidP="004D546B">
            <w:pPr>
              <w:spacing w:after="0" w:line="240" w:lineRule="auto"/>
              <w:rPr>
                <w:rFonts w:asciiTheme="minorHAnsi" w:hAnsiTheme="minorHAnsi" w:cstheme="minorHAnsi"/>
                <w:bCs/>
                <w:sz w:val="18"/>
                <w:szCs w:val="18"/>
              </w:rPr>
            </w:pP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xml:space="preserve">Mikropłytki reakcyjne MicroAmp Optical 96-Well Reaction Plate with Barcode lub równoważne: z 96 dołkami </w:t>
            </w: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o pojemności 0,2 ml, optycznie (fluorescencyjnie) neutralne, kompatybilne pod względem ścisłego dopasowania do 96-dołkowgo bloku termocyklerów GeneAmp 9700 i  automatycznego podajnika próbek aparatu ABI ABI PRISM 3130xl/3100, spełniające kryteria czystości wymagane w analizach DNA techniką PCR, konfekcjonowane fabrycznie, po 10 sztuk w opakowaniu</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N8010560</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16</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3130xl/3100 Genetic Analyzer Capillary Array, 36 cm</w:t>
            </w:r>
          </w:p>
          <w:p w:rsidR="004D546B" w:rsidRPr="004D546B" w:rsidRDefault="004D546B" w:rsidP="004D546B">
            <w:pPr>
              <w:spacing w:after="0" w:line="240" w:lineRule="auto"/>
              <w:rPr>
                <w:rFonts w:asciiTheme="minorHAnsi" w:hAnsiTheme="minorHAnsi" w:cstheme="minorHAnsi"/>
                <w:sz w:val="18"/>
                <w:szCs w:val="18"/>
                <w:lang w:eastAsia="pl-PL"/>
              </w:rPr>
            </w:pP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Zestaw 16 kapilar o długości 36cm w jednej wiązce, kompatybilnych z analizatorem genetycznym typu 3130xl lub 3100. Zestaw posiada zastosowanie w aplikacjach: analizy fragmentów, sekwencjonowaniu, analizie SNaPshot. Kompatybilny do pracy jako medium separacyjnym fragmentów w warunkach denaturujących.</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4315931</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GeneScan™ 600LIZ Size Standard</w:t>
            </w:r>
          </w:p>
          <w:p w:rsidR="004D546B" w:rsidRPr="004D546B" w:rsidRDefault="004D546B" w:rsidP="004D546B">
            <w:pPr>
              <w:spacing w:after="0" w:line="240" w:lineRule="auto"/>
              <w:rPr>
                <w:rFonts w:asciiTheme="minorHAnsi" w:hAnsiTheme="minorHAnsi" w:cstheme="minorHAnsi"/>
                <w:sz w:val="18"/>
                <w:szCs w:val="18"/>
                <w:lang w:eastAsia="pl-PL"/>
              </w:rPr>
            </w:pP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Standard wewnętrzny służący do wymiarowania badanych fragmentów DNA w zakresie od 20-600pz, zawierający fragmenty DNA o znanej długości (bp): 20, 40, 60, 80, 100, 114, 120, 140, 160, 180, 200, 214, 220, 240, 250, 260, 280, 300, 314, 320, 340, 360, 380, 400, 414, 420, 440, 460, 480, 500, 514, 520, 540, 560, 580 i 600 bp;  znakowany barwnikiem LIZ;  konfekcjonowany fabrycznie wystarczający na przeprowadzenie 800 rxn.</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4366589</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7</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jc w:val="center"/>
              <w:rPr>
                <w:rFonts w:asciiTheme="minorHAnsi" w:hAnsiTheme="minorHAnsi" w:cstheme="minorHAnsi"/>
                <w:sz w:val="18"/>
                <w:szCs w:val="18"/>
              </w:rPr>
            </w:pPr>
            <w:r w:rsidRPr="004D546B">
              <w:rPr>
                <w:rFonts w:asciiTheme="minorHAnsi"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Hi-Di Formamide, 25ml</w:t>
            </w:r>
          </w:p>
          <w:p w:rsidR="004D546B" w:rsidRPr="004D546B" w:rsidRDefault="004D546B" w:rsidP="004D546B">
            <w:pPr>
              <w:spacing w:after="0" w:line="240" w:lineRule="auto"/>
              <w:rPr>
                <w:rFonts w:asciiTheme="minorHAnsi" w:eastAsia="Times New Roman" w:hAnsiTheme="minorHAnsi" w:cstheme="minorHAnsi"/>
                <w:sz w:val="18"/>
                <w:szCs w:val="18"/>
              </w:rPr>
            </w:pPr>
          </w:p>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Wysoko dejonizowany o przewodnictwie poniżej 30 µS, optycznie neutralny, stosowany w biologii molekularnej, w procesie elektroforetycznego rodzaju fragmentów DNA w warunkach denaturujących, gwarantujący prawidłowość rozdziału zdenaturowanych fragmentów DNA w posiadanym aparacie ABI PRISM 3130, konfekcjonowany fabrycznie po 25 ml w opakowaniu.</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4311320</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Buffer (10x) with EDTA, 25ml</w:t>
            </w:r>
          </w:p>
          <w:p w:rsidR="004D546B" w:rsidRPr="004D546B" w:rsidRDefault="004D546B" w:rsidP="004D546B">
            <w:pPr>
              <w:spacing w:after="0" w:line="240" w:lineRule="auto"/>
              <w:rPr>
                <w:rFonts w:asciiTheme="minorHAnsi" w:eastAsia="Times New Roman" w:hAnsiTheme="minorHAnsi" w:cstheme="minorHAnsi"/>
                <w:sz w:val="18"/>
                <w:szCs w:val="18"/>
              </w:rPr>
            </w:pPr>
          </w:p>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Bufor do elektroforezy kapilarnej zoptymalizowany do pracy na aparatach 3130xl Genetic Analzyers; opakowanie 25ml.</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402824</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POP-7 Polymer for 3130/3130xL Genetic Analyzers, wielkość opakowania 3,5 ml</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4363785</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op.</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4D546B" w:rsidRPr="003670DE" w:rsidTr="00C020B2">
        <w:trPr>
          <w:trHeight w:val="239"/>
        </w:trPr>
        <w:tc>
          <w:tcPr>
            <w:tcW w:w="421" w:type="dxa"/>
            <w:tcBorders>
              <w:top w:val="single" w:sz="4" w:space="0" w:color="auto"/>
              <w:left w:val="single" w:sz="4" w:space="0" w:color="auto"/>
              <w:bottom w:val="single" w:sz="4" w:space="0" w:color="auto"/>
              <w:right w:val="single" w:sz="4" w:space="0" w:color="auto"/>
            </w:tcBorders>
            <w:noWrap/>
          </w:tcPr>
          <w:p w:rsidR="004D546B" w:rsidRPr="00B66297" w:rsidRDefault="004D546B" w:rsidP="002315FA">
            <w:pPr>
              <w:pStyle w:val="Akapitzlist"/>
              <w:numPr>
                <w:ilvl w:val="0"/>
                <w:numId w:val="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POP-7TM Polymer for 3500/3500xL Genetic Analyzers, opakowanie zawiera 384 próby</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4393708</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op.</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21 dni</w:t>
            </w:r>
          </w:p>
        </w:tc>
        <w:tc>
          <w:tcPr>
            <w:tcW w:w="993" w:type="dxa"/>
            <w:tcBorders>
              <w:top w:val="single" w:sz="4" w:space="0" w:color="auto"/>
              <w:left w:val="single" w:sz="4" w:space="0" w:color="auto"/>
              <w:bottom w:val="single" w:sz="4" w:space="0" w:color="auto"/>
              <w:right w:val="single" w:sz="4" w:space="0" w:color="auto"/>
            </w:tcBorders>
            <w:vAlign w:val="center"/>
          </w:tcPr>
          <w:p w:rsidR="004D546B" w:rsidRPr="007C77ED"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8" w:type="dxa"/>
            <w:gridSpan w:val="2"/>
            <w:tcBorders>
              <w:top w:val="single" w:sz="4" w:space="0" w:color="auto"/>
              <w:left w:val="single" w:sz="4" w:space="0" w:color="auto"/>
              <w:bottom w:val="single" w:sz="4" w:space="0" w:color="auto"/>
              <w:right w:val="single" w:sz="4" w:space="0" w:color="auto"/>
            </w:tcBorders>
            <w:noWrap/>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4D546B" w:rsidRPr="002A54DE" w:rsidRDefault="004D546B" w:rsidP="004D546B">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C020B2">
        <w:trPr>
          <w:trHeight w:val="372"/>
        </w:trPr>
        <w:tc>
          <w:tcPr>
            <w:tcW w:w="9118" w:type="dxa"/>
            <w:gridSpan w:val="8"/>
            <w:tcBorders>
              <w:top w:val="single" w:sz="4" w:space="0" w:color="auto"/>
              <w:left w:val="single" w:sz="4" w:space="0" w:color="auto"/>
              <w:bottom w:val="single" w:sz="4" w:space="0" w:color="auto"/>
              <w:right w:val="single" w:sz="12" w:space="0" w:color="auto"/>
            </w:tcBorders>
          </w:tcPr>
          <w:p w:rsidR="00F55CA5" w:rsidRPr="003670DE" w:rsidRDefault="00F55CA5" w:rsidP="00095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46" w:type="dxa"/>
            <w:gridSpan w:val="2"/>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095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55CA5" w:rsidRPr="003670DE" w:rsidRDefault="00F55CA5" w:rsidP="00095346">
            <w:pPr>
              <w:tabs>
                <w:tab w:val="right" w:pos="14580"/>
              </w:tabs>
              <w:spacing w:after="0" w:line="240" w:lineRule="auto"/>
              <w:jc w:val="center"/>
              <w:rPr>
                <w:rFonts w:ascii="Book Antiqua" w:eastAsia="Times New Roman" w:hAnsi="Book Antiqua" w:cs="Arial"/>
                <w:sz w:val="18"/>
                <w:szCs w:val="18"/>
                <w:lang w:eastAsia="pl-PL"/>
              </w:rPr>
            </w:pPr>
          </w:p>
        </w:tc>
        <w:tc>
          <w:tcPr>
            <w:tcW w:w="1263"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095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095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Pr="00EC7C4A" w:rsidRDefault="00015F10" w:rsidP="00F55CA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F55CA5">
        <w:rPr>
          <w:rFonts w:asciiTheme="minorHAnsi" w:hAnsiTheme="minorHAnsi" w:cs="Arial"/>
          <w:sz w:val="18"/>
        </w:rPr>
        <w:t xml:space="preserve"> </w:t>
      </w:r>
      <w:r w:rsidR="00F55CA5">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E65D3D"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w:t>
      </w:r>
    </w:p>
    <w:tbl>
      <w:tblPr>
        <w:tblpPr w:leftFromText="141" w:rightFromText="141" w:bottomFromText="200" w:vertAnchor="text" w:horzAnchor="margin" w:tblpY="315"/>
        <w:tblW w:w="15129" w:type="dxa"/>
        <w:tblLayout w:type="fixed"/>
        <w:tblCellMar>
          <w:left w:w="70" w:type="dxa"/>
          <w:right w:w="70" w:type="dxa"/>
        </w:tblCellMar>
        <w:tblLook w:val="04A0" w:firstRow="1" w:lastRow="0" w:firstColumn="1" w:lastColumn="0" w:noHBand="0" w:noVBand="1"/>
      </w:tblPr>
      <w:tblGrid>
        <w:gridCol w:w="421"/>
        <w:gridCol w:w="3967"/>
        <w:gridCol w:w="1559"/>
        <w:gridCol w:w="567"/>
        <w:gridCol w:w="567"/>
        <w:gridCol w:w="992"/>
        <w:gridCol w:w="997"/>
        <w:gridCol w:w="18"/>
        <w:gridCol w:w="1258"/>
        <w:gridCol w:w="84"/>
        <w:gridCol w:w="767"/>
        <w:gridCol w:w="850"/>
        <w:gridCol w:w="84"/>
        <w:gridCol w:w="1192"/>
        <w:gridCol w:w="101"/>
        <w:gridCol w:w="1599"/>
        <w:gridCol w:w="106"/>
      </w:tblGrid>
      <w:tr w:rsidR="0048696C" w:rsidRPr="003670DE" w:rsidTr="00C020B2">
        <w:trPr>
          <w:gridAfter w:val="1"/>
          <w:wAfter w:w="106"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C020B2" w:rsidRDefault="0048696C" w:rsidP="00624346">
            <w:pPr>
              <w:tabs>
                <w:tab w:val="right" w:pos="14580"/>
              </w:tabs>
              <w:spacing w:after="0" w:line="240" w:lineRule="auto"/>
              <w:jc w:val="center"/>
              <w:rPr>
                <w:rFonts w:asciiTheme="minorHAnsi" w:eastAsia="Times New Roman" w:hAnsiTheme="minorHAnsi" w:cstheme="minorHAnsi"/>
                <w:sz w:val="18"/>
                <w:szCs w:val="20"/>
                <w:lang w:eastAsia="pl-PL"/>
              </w:rPr>
            </w:pPr>
            <w:r w:rsidRPr="00C020B2">
              <w:rPr>
                <w:rFonts w:asciiTheme="minorHAnsi" w:eastAsia="Times New Roman" w:hAnsiTheme="minorHAnsi" w:cstheme="minorHAnsi"/>
                <w:sz w:val="18"/>
                <w:szCs w:val="20"/>
                <w:lang w:eastAsia="pl-PL"/>
              </w:rPr>
              <w:t>L.p.</w:t>
            </w:r>
          </w:p>
        </w:tc>
        <w:tc>
          <w:tcPr>
            <w:tcW w:w="396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4D546B" w:rsidRDefault="004D546B"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D546B">
              <w:rPr>
                <w:rFonts w:asciiTheme="minorHAnsi" w:eastAsia="Times New Roman" w:hAnsiTheme="minorHAnsi" w:cstheme="minorHAnsi"/>
                <w:sz w:val="18"/>
                <w:szCs w:val="20"/>
              </w:rPr>
              <w:t>Zgodne z numerem katalogowym firmy Eurx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7"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0"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C020B2">
        <w:trPr>
          <w:gridAfter w:val="1"/>
          <w:wAfter w:w="106"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997"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0"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D546B" w:rsidRPr="003670DE" w:rsidTr="00C020B2">
        <w:trPr>
          <w:gridAfter w:val="1"/>
          <w:wAfter w:w="106"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r w:rsidRPr="004D546B">
              <w:rPr>
                <w:rFonts w:eastAsia="Times New Roman" w:cstheme="minorHAnsi"/>
                <w:sz w:val="18"/>
                <w:szCs w:val="18"/>
                <w:lang w:eastAsia="pl-PL"/>
              </w:rPr>
              <w:lastRenderedPageBreak/>
              <w:t>1</w:t>
            </w:r>
          </w:p>
        </w:tc>
        <w:tc>
          <w:tcPr>
            <w:tcW w:w="3967" w:type="dxa"/>
            <w:tcBorders>
              <w:top w:val="single" w:sz="4" w:space="0" w:color="auto"/>
              <w:left w:val="nil"/>
              <w:bottom w:val="single" w:sz="4" w:space="0" w:color="auto"/>
              <w:right w:val="single" w:sz="4" w:space="0" w:color="auto"/>
            </w:tcBorders>
            <w:vAlign w:val="center"/>
            <w:hideMark/>
          </w:tcPr>
          <w:p w:rsidR="004D546B" w:rsidRPr="004D546B" w:rsidRDefault="004D546B" w:rsidP="004D546B">
            <w:pPr>
              <w:spacing w:after="0" w:line="240" w:lineRule="auto"/>
              <w:rPr>
                <w:rFonts w:asciiTheme="minorHAnsi" w:eastAsia="Times New Roman" w:hAnsiTheme="minorHAnsi" w:cstheme="minorHAnsi"/>
                <w:sz w:val="18"/>
                <w:szCs w:val="18"/>
                <w:lang w:eastAsia="pl-PL"/>
              </w:rPr>
            </w:pPr>
            <w:r w:rsidRPr="004D546B">
              <w:rPr>
                <w:rFonts w:asciiTheme="minorHAnsi" w:eastAsia="Times New Roman" w:hAnsiTheme="minorHAnsi" w:cstheme="minorHAnsi"/>
                <w:sz w:val="18"/>
                <w:szCs w:val="18"/>
                <w:lang w:eastAsia="pl-PL"/>
              </w:rPr>
              <w:t>GeneMATRIX Plant &amp; Fungi DNA Purification Kit 150 prób</w:t>
            </w:r>
          </w:p>
          <w:p w:rsidR="004D546B" w:rsidRPr="004D546B" w:rsidRDefault="004D546B" w:rsidP="004D546B">
            <w:pPr>
              <w:spacing w:after="0" w:line="240" w:lineRule="auto"/>
              <w:rPr>
                <w:rFonts w:asciiTheme="minorHAnsi" w:eastAsia="Times New Roman" w:hAnsiTheme="minorHAnsi" w:cstheme="minorHAnsi"/>
                <w:sz w:val="18"/>
                <w:szCs w:val="18"/>
                <w:lang w:eastAsia="pl-PL"/>
              </w:rPr>
            </w:pPr>
          </w:p>
          <w:p w:rsidR="004D546B" w:rsidRPr="004D546B" w:rsidRDefault="004D546B" w:rsidP="004D546B">
            <w:pPr>
              <w:spacing w:after="0" w:line="240" w:lineRule="auto"/>
              <w:rPr>
                <w:rFonts w:asciiTheme="minorHAnsi" w:eastAsia="Times New Roman" w:hAnsiTheme="minorHAnsi" w:cstheme="minorHAnsi"/>
                <w:sz w:val="18"/>
                <w:szCs w:val="18"/>
                <w:lang w:eastAsia="pl-PL"/>
              </w:rPr>
            </w:pPr>
            <w:r w:rsidRPr="004D546B">
              <w:rPr>
                <w:rFonts w:asciiTheme="minorHAnsi" w:eastAsia="Times New Roman" w:hAnsiTheme="minorHAnsi" w:cstheme="minorHAnsi"/>
                <w:spacing w:val="-4"/>
                <w:sz w:val="18"/>
                <w:szCs w:val="18"/>
              </w:rPr>
              <w:t>Zestaw do izolacji DNA z materiału roślinnego i grzybów musi zawierać bufor aktywacyjny oraz posiadać 2 oddzielne bufory lizujące: jeden do roślin, drugi do grzybów</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E3595-02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16</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rPr>
            </w:pPr>
            <w:r w:rsidRPr="004D546B">
              <w:rPr>
                <w:rFonts w:asciiTheme="minorHAnsi" w:hAnsiTheme="minorHAnsi" w:cstheme="minorHAnsi"/>
                <w:sz w:val="18"/>
                <w:szCs w:val="18"/>
              </w:rPr>
              <w:t>GeneMATRIX UNIVERSAL RNA Purification Kit, 100 reakcji</w:t>
            </w:r>
          </w:p>
          <w:p w:rsidR="004D546B" w:rsidRPr="004D546B" w:rsidRDefault="004D546B" w:rsidP="004D546B">
            <w:pPr>
              <w:spacing w:after="0" w:line="240" w:lineRule="auto"/>
              <w:rPr>
                <w:rFonts w:asciiTheme="minorHAnsi" w:hAnsiTheme="minorHAnsi" w:cstheme="minorHAnsi"/>
                <w:sz w:val="18"/>
                <w:szCs w:val="18"/>
              </w:rPr>
            </w:pP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Zestaw przeznaczony do izolacji RNA bez ograniczenia gatunku organizmu</w:t>
            </w: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Zastosowane w minikolumnach membrany  gwarantują wysoką jakość uzyskiwanego RNA (ultraczyste RNA). Próby nie będą zawierały  zanieczyszczeń w postaci białek, lipidów, inhibitorów enzymów, soli i kationów dwuwartościowych oraz DNA, które przeszkadzają w dalszej analizie ekspresji genów</w:t>
            </w: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Zawiera bufory denaturujące nieporządaną RNazę komórkową</w:t>
            </w:r>
          </w:p>
          <w:p w:rsidR="004D546B" w:rsidRPr="004D546B" w:rsidRDefault="004D546B" w:rsidP="004D546B">
            <w:pPr>
              <w:spacing w:after="0" w:line="240" w:lineRule="auto"/>
              <w:rPr>
                <w:rFonts w:asciiTheme="minorHAnsi" w:hAnsiTheme="minorHAnsi" w:cstheme="minorHAnsi"/>
                <w:sz w:val="18"/>
                <w:szCs w:val="18"/>
                <w:lang w:eastAsia="pl-PL"/>
              </w:rPr>
            </w:pPr>
            <w:r w:rsidRPr="004D546B">
              <w:rPr>
                <w:rFonts w:asciiTheme="minorHAnsi" w:hAnsiTheme="minorHAnsi" w:cstheme="minorHAnsi"/>
                <w:sz w:val="18"/>
                <w:szCs w:val="18"/>
                <w:lang w:eastAsia="pl-PL"/>
              </w:rPr>
              <w:t>- pozwala także na oczyszczanie RNA o długości poniżej 200nt</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E3598-02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rPr>
            </w:pPr>
            <w:r w:rsidRPr="004D546B">
              <w:rPr>
                <w:rFonts w:asciiTheme="minorHAnsi" w:hAnsiTheme="minorHAnsi" w:cstheme="minorHAnsi"/>
                <w:sz w:val="18"/>
                <w:szCs w:val="18"/>
                <w:lang w:val="en-US"/>
              </w:rPr>
              <w:t>Kolumienki do zestawu GeneMATRIX Plant &amp; Fungi DNA Purification Kit 100szt w opak</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E0330-02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9</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Lyse P buffer, 150 izolacji</w:t>
            </w:r>
          </w:p>
          <w:p w:rsidR="004D546B" w:rsidRPr="004D546B" w:rsidRDefault="004D546B" w:rsidP="004D546B">
            <w:pPr>
              <w:spacing w:after="0" w:line="240" w:lineRule="auto"/>
              <w:rPr>
                <w:rFonts w:asciiTheme="minorHAnsi" w:hAnsiTheme="minorHAnsi" w:cstheme="minorHAnsi"/>
                <w:sz w:val="18"/>
                <w:szCs w:val="18"/>
                <w:lang w:val="en-US"/>
              </w:rPr>
            </w:pPr>
          </w:p>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Podstawowy roztwór lizujący do roślin z zestawu E3595</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E03020-02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Bufor Wash PX, 100 izolacji</w:t>
            </w:r>
          </w:p>
          <w:p w:rsidR="004D546B" w:rsidRPr="004D546B" w:rsidRDefault="004D546B" w:rsidP="004D546B">
            <w:pPr>
              <w:spacing w:after="0" w:line="240" w:lineRule="auto"/>
              <w:rPr>
                <w:rFonts w:asciiTheme="minorHAnsi" w:hAnsiTheme="minorHAnsi" w:cstheme="minorHAnsi"/>
                <w:sz w:val="18"/>
                <w:szCs w:val="18"/>
                <w:lang w:val="en-US"/>
              </w:rPr>
            </w:pPr>
          </w:p>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Podstawowy roztwór płuczący do zestawu E3595</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E0318-02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9</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RNase A (DNase-free), 10mg (1ml)</w:t>
            </w:r>
          </w:p>
          <w:p w:rsidR="004D546B" w:rsidRPr="004D546B" w:rsidRDefault="004D546B" w:rsidP="004D546B">
            <w:pPr>
              <w:spacing w:after="0" w:line="240" w:lineRule="auto"/>
              <w:rPr>
                <w:rFonts w:asciiTheme="minorHAnsi" w:hAnsiTheme="minorHAnsi" w:cstheme="minorHAnsi"/>
                <w:sz w:val="18"/>
                <w:szCs w:val="18"/>
                <w:lang w:val="en-US"/>
              </w:rPr>
            </w:pPr>
          </w:p>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 xml:space="preserve">RNaza A jest specyficzną wobec pirymidyny endoribonukleazą aktywną wobec jednoniciowego RNA. RNaza A katalizuje cięcie wiązania fosfodiestrowego między 5′-rybozą nukleotydu i grupą fosforanową przyłączoną do 3′-rybozy sąsiadującego nukleotydu pirymidynowego tworząc </w:t>
            </w:r>
            <w:r w:rsidRPr="004D546B">
              <w:rPr>
                <w:rFonts w:asciiTheme="minorHAnsi" w:hAnsiTheme="minorHAnsi" w:cstheme="minorHAnsi"/>
                <w:sz w:val="18"/>
                <w:szCs w:val="18"/>
                <w:lang w:val="en-US"/>
              </w:rPr>
              <w:lastRenderedPageBreak/>
              <w:t>2 ‘, 3′-cykliczny fosforan, który może być następnie hydrolizowany do odpowiedniego fosforanu 3’-nukleozydu. Głównym zastosowaniem dla RNazy A jest usuwanie RNA z preparatów DNA.</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lastRenderedPageBreak/>
              <w:t>E1350-01</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szt.</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D546B" w:rsidRPr="003670DE" w:rsidTr="00C020B2">
        <w:trPr>
          <w:gridAfter w:val="1"/>
          <w:wAfter w:w="106" w:type="dxa"/>
          <w:trHeight w:val="293"/>
        </w:trPr>
        <w:tc>
          <w:tcPr>
            <w:tcW w:w="421" w:type="dxa"/>
            <w:tcBorders>
              <w:top w:val="single" w:sz="4" w:space="0" w:color="auto"/>
              <w:left w:val="single" w:sz="4" w:space="0" w:color="auto"/>
              <w:bottom w:val="single" w:sz="4" w:space="0" w:color="auto"/>
              <w:right w:val="single" w:sz="4" w:space="0" w:color="auto"/>
            </w:tcBorders>
            <w:noWrap/>
          </w:tcPr>
          <w:p w:rsidR="004D546B" w:rsidRPr="004D546B" w:rsidRDefault="004D546B" w:rsidP="002315FA">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p>
        </w:tc>
        <w:tc>
          <w:tcPr>
            <w:tcW w:w="3967" w:type="dxa"/>
            <w:tcBorders>
              <w:top w:val="single" w:sz="4" w:space="0" w:color="auto"/>
              <w:left w:val="nil"/>
              <w:bottom w:val="single" w:sz="4" w:space="0" w:color="auto"/>
              <w:right w:val="single" w:sz="4" w:space="0" w:color="auto"/>
            </w:tcBorders>
          </w:tcPr>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Proteinase K, 5x1ml</w:t>
            </w:r>
          </w:p>
          <w:p w:rsidR="004D546B" w:rsidRPr="004D546B" w:rsidRDefault="004D546B" w:rsidP="004D546B">
            <w:pPr>
              <w:spacing w:after="0" w:line="240" w:lineRule="auto"/>
              <w:rPr>
                <w:rFonts w:asciiTheme="minorHAnsi" w:hAnsiTheme="minorHAnsi" w:cstheme="minorHAnsi"/>
                <w:sz w:val="18"/>
                <w:szCs w:val="18"/>
                <w:lang w:val="en-US"/>
              </w:rPr>
            </w:pPr>
          </w:p>
          <w:p w:rsidR="004D546B" w:rsidRPr="004D546B" w:rsidRDefault="004D546B" w:rsidP="004D546B">
            <w:pPr>
              <w:spacing w:after="0" w:line="240" w:lineRule="auto"/>
              <w:rPr>
                <w:rFonts w:asciiTheme="minorHAnsi" w:hAnsiTheme="minorHAnsi" w:cstheme="minorHAnsi"/>
                <w:sz w:val="18"/>
                <w:szCs w:val="18"/>
                <w:lang w:val="en-US"/>
              </w:rPr>
            </w:pPr>
            <w:r w:rsidRPr="004D546B">
              <w:rPr>
                <w:rFonts w:asciiTheme="minorHAnsi" w:hAnsiTheme="minorHAnsi" w:cstheme="minorHAnsi"/>
                <w:sz w:val="18"/>
                <w:szCs w:val="18"/>
                <w:lang w:val="en-US"/>
              </w:rPr>
              <w:t>Proteinaza K jest niespecyficzną proteazą serynową o bardzo wysokiej aktywności właściwej. Enzym używany jest w izolacji RNA, DNA i inaktywacji innych aktywności enzymatycznych. Proteinaza K jest aktywna w obecności SDS i EDTA jak i bez tych dodatków. Proteinaza K jest proteazą serynową o szerokim spektrum działania, do trawienia białek w próbkach biologicznych. Enzym wolny jest od aktywności RNazy i DNazy.</w:t>
            </w:r>
          </w:p>
        </w:tc>
        <w:tc>
          <w:tcPr>
            <w:tcW w:w="1559" w:type="dxa"/>
            <w:tcBorders>
              <w:top w:val="single" w:sz="4" w:space="0" w:color="auto"/>
              <w:left w:val="nil"/>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E4350-02</w:t>
            </w:r>
          </w:p>
        </w:tc>
        <w:tc>
          <w:tcPr>
            <w:tcW w:w="567" w:type="dxa"/>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opak.</w:t>
            </w:r>
          </w:p>
        </w:tc>
        <w:tc>
          <w:tcPr>
            <w:tcW w:w="567" w:type="dxa"/>
            <w:tcBorders>
              <w:top w:val="single" w:sz="4" w:space="0" w:color="auto"/>
              <w:left w:val="nil"/>
              <w:bottom w:val="single" w:sz="4" w:space="0" w:color="auto"/>
              <w:right w:val="single" w:sz="4" w:space="0" w:color="auto"/>
            </w:tcBorders>
            <w:noWrap/>
            <w:vAlign w:val="center"/>
          </w:tcPr>
          <w:p w:rsidR="004D546B" w:rsidRPr="004D546B" w:rsidRDefault="004D546B" w:rsidP="004D546B">
            <w:pPr>
              <w:spacing w:after="0" w:line="240" w:lineRule="auto"/>
              <w:jc w:val="center"/>
              <w:rPr>
                <w:rFonts w:asciiTheme="minorHAnsi" w:hAnsiTheme="minorHAnsi" w:cstheme="minorHAnsi"/>
                <w:sz w:val="18"/>
                <w:szCs w:val="18"/>
              </w:rPr>
            </w:pPr>
            <w:r w:rsidRPr="004D546B">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highlight w:val="cyan"/>
              </w:rPr>
            </w:pPr>
            <w:r w:rsidRPr="004D546B">
              <w:rPr>
                <w:rFonts w:asciiTheme="minorHAnsi" w:eastAsia="Times New Roman" w:hAnsiTheme="minorHAnsi" w:cstheme="minorHAnsi"/>
                <w:sz w:val="18"/>
                <w:szCs w:val="18"/>
              </w:rPr>
              <w:t>21 dni</w:t>
            </w:r>
          </w:p>
        </w:tc>
        <w:tc>
          <w:tcPr>
            <w:tcW w:w="997" w:type="dxa"/>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4D546B" w:rsidRPr="004D546B" w:rsidRDefault="004D546B" w:rsidP="004D546B">
            <w:pPr>
              <w:tabs>
                <w:tab w:val="right" w:pos="14580"/>
              </w:tabs>
              <w:spacing w:after="0" w:line="240" w:lineRule="auto"/>
              <w:jc w:val="center"/>
              <w:rPr>
                <w:rFonts w:asciiTheme="minorHAnsi" w:eastAsia="Times New Roman" w:hAnsiTheme="minorHAnsi" w:cstheme="minorHAnsi"/>
                <w:sz w:val="18"/>
                <w:szCs w:val="18"/>
                <w:lang w:eastAsia="pl-PL"/>
              </w:rPr>
            </w:pPr>
          </w:p>
        </w:tc>
      </w:tr>
      <w:tr w:rsidR="0048696C" w:rsidRPr="003670DE" w:rsidTr="00C020B2">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42" w:type="dxa"/>
            <w:gridSpan w:val="2"/>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293"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2"/>
            <w:tcBorders>
              <w:top w:val="single" w:sz="4" w:space="0" w:color="auto"/>
              <w:lef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E65D3D"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419"/>
        <w:gridCol w:w="3970"/>
        <w:gridCol w:w="1558"/>
        <w:gridCol w:w="567"/>
        <w:gridCol w:w="569"/>
        <w:gridCol w:w="992"/>
        <w:gridCol w:w="992"/>
        <w:gridCol w:w="1276"/>
        <w:gridCol w:w="851"/>
        <w:gridCol w:w="850"/>
        <w:gridCol w:w="1276"/>
        <w:gridCol w:w="1701"/>
      </w:tblGrid>
      <w:tr w:rsidR="0048696C" w:rsidRPr="003670DE" w:rsidTr="00C020B2">
        <w:trPr>
          <w:trHeight w:val="557"/>
        </w:trPr>
        <w:tc>
          <w:tcPr>
            <w:tcW w:w="419"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48696C" w:rsidRPr="00C020B2" w:rsidRDefault="004D546B" w:rsidP="00624346">
            <w:pPr>
              <w:tabs>
                <w:tab w:val="right" w:pos="14580"/>
              </w:tabs>
              <w:spacing w:after="0" w:line="240" w:lineRule="auto"/>
              <w:jc w:val="center"/>
              <w:rPr>
                <w:rFonts w:asciiTheme="minorHAnsi" w:eastAsia="Times New Roman" w:hAnsiTheme="minorHAnsi" w:cstheme="minorHAnsi"/>
                <w:sz w:val="18"/>
                <w:szCs w:val="18"/>
                <w:lang w:eastAsia="pl-PL"/>
              </w:rPr>
            </w:pPr>
            <w:r w:rsidRPr="00C020B2">
              <w:rPr>
                <w:rFonts w:asciiTheme="minorHAnsi" w:eastAsia="Times New Roman" w:hAnsiTheme="minorHAnsi" w:cstheme="minorHAnsi"/>
                <w:sz w:val="18"/>
                <w:szCs w:val="18"/>
              </w:rPr>
              <w:t>Zgodne z numerem katalogowym firmy Q4Lab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C020B2">
        <w:trPr>
          <w:trHeight w:val="415"/>
        </w:trPr>
        <w:tc>
          <w:tcPr>
            <w:tcW w:w="419"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C020B2"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hideMark/>
          </w:tcPr>
          <w:p w:rsidR="00C020B2" w:rsidRPr="0048696C" w:rsidRDefault="00C020B2" w:rsidP="002315FA">
            <w:pPr>
              <w:pStyle w:val="Akapitzlist"/>
              <w:numPr>
                <w:ilvl w:val="0"/>
                <w:numId w:val="4"/>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hideMark/>
          </w:tcPr>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Qiagen Taq Multiplex PCR Kit (1000 reaction 50</w:t>
            </w:r>
            <w:r w:rsidRPr="008A3142">
              <w:rPr>
                <w:rFonts w:asciiTheme="minorHAnsi" w:hAnsiTheme="minorHAnsi" w:cstheme="minorHAnsi"/>
                <w:sz w:val="18"/>
                <w:szCs w:val="18"/>
                <w:lang w:val="en-US"/>
              </w:rPr>
              <w:t>µl</w:t>
            </w:r>
            <w:r w:rsidRPr="008A3142">
              <w:rPr>
                <w:rFonts w:asciiTheme="minorHAnsi" w:hAnsiTheme="minorHAnsi" w:cstheme="minorHAnsi"/>
                <w:sz w:val="18"/>
                <w:szCs w:val="18"/>
                <w:lang w:eastAsia="pl-PL"/>
              </w:rPr>
              <w:t>)</w:t>
            </w:r>
          </w:p>
          <w:p w:rsidR="00C020B2" w:rsidRPr="008A3142" w:rsidRDefault="00C020B2" w:rsidP="00C020B2">
            <w:pPr>
              <w:spacing w:after="0" w:line="240" w:lineRule="auto"/>
              <w:rPr>
                <w:rFonts w:asciiTheme="minorHAnsi" w:hAnsiTheme="minorHAnsi" w:cstheme="minorHAnsi"/>
                <w:sz w:val="18"/>
                <w:szCs w:val="18"/>
                <w:lang w:eastAsia="pl-PL"/>
              </w:rPr>
            </w:pP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 xml:space="preserve">Multiplex PCR Master Mix (zawierający HotStarTaq DNA Polymerase, Multiplex PCR Buffer (6 mM MgCl2, pH 8.7), dNTP Mix) konfekcjonowany fabrycznie w probówce w ilości 25ml </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lastRenderedPageBreak/>
              <w:t>RNAse-Free Water konfekcjonowany fabrycznie w probówce w ilości 20ml</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Q-Solution, 5x konfekcjonowany fabrycznie w probówce w ilości 10ml</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Polimeraza HotStarTaq aktywowana przez 15minut w temperaturze 95°C</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Anealing w zakresie 57-63°C</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Wydłużanie końcowe w 72°C</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Mieszanina buforowana układem KCl i (NH4)2SO4</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Czas przechowywania w +4°C – co najmniej 6 miesięcy</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Możliwość kilkukrotnego zamrożenia zestawu w temp. -20°C celem przedłużenia żywotności</w:t>
            </w:r>
          </w:p>
        </w:tc>
        <w:tc>
          <w:tcPr>
            <w:tcW w:w="1558" w:type="dxa"/>
            <w:tcBorders>
              <w:top w:val="single" w:sz="4" w:space="0" w:color="auto"/>
              <w:left w:val="nil"/>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lastRenderedPageBreak/>
              <w:t>206145</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eastAsia="Times New Roman" w:hAnsiTheme="minorHAnsi" w:cstheme="minorHAnsi"/>
                <w:sz w:val="18"/>
                <w:szCs w:val="18"/>
              </w:rPr>
            </w:pPr>
            <w:r w:rsidRPr="008A3142">
              <w:rPr>
                <w:rFonts w:asciiTheme="minorHAnsi" w:eastAsia="Times New Roman" w:hAnsiTheme="minorHAnsi" w:cstheme="minorHAnsi"/>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tcPr>
          <w:p w:rsidR="00C020B2" w:rsidRPr="0048696C" w:rsidRDefault="00C020B2" w:rsidP="002315FA">
            <w:pPr>
              <w:pStyle w:val="Akapitzlist"/>
              <w:numPr>
                <w:ilvl w:val="0"/>
                <w:numId w:val="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C020B2" w:rsidRPr="008A3142" w:rsidRDefault="00C020B2" w:rsidP="00C020B2">
            <w:pPr>
              <w:spacing w:after="0" w:line="240" w:lineRule="auto"/>
              <w:rPr>
                <w:rFonts w:asciiTheme="minorHAnsi" w:hAnsiTheme="minorHAnsi" w:cstheme="minorHAnsi"/>
                <w:sz w:val="18"/>
                <w:szCs w:val="18"/>
              </w:rPr>
            </w:pPr>
            <w:r w:rsidRPr="008A3142">
              <w:rPr>
                <w:rFonts w:asciiTheme="minorHAnsi" w:hAnsiTheme="minorHAnsi" w:cstheme="minorHAnsi"/>
                <w:sz w:val="18"/>
                <w:szCs w:val="18"/>
              </w:rPr>
              <w:t>Qiagen miRNeasy Serum/Plasma Kit, 50 reakcji</w:t>
            </w:r>
          </w:p>
          <w:p w:rsidR="00C020B2" w:rsidRPr="008A3142" w:rsidRDefault="00C020B2" w:rsidP="00C020B2">
            <w:pPr>
              <w:spacing w:after="0" w:line="240" w:lineRule="auto"/>
              <w:rPr>
                <w:rFonts w:asciiTheme="minorHAnsi" w:hAnsiTheme="minorHAnsi" w:cstheme="minorHAnsi"/>
                <w:sz w:val="18"/>
                <w:szCs w:val="18"/>
              </w:rPr>
            </w:pP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Zestaw pozwalający na izolowanie wolnego (pozakomórkowego) RNA, w tym miRNA znajdującego się w osoczu</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 bardzo wysoka czystość i jakość uzyskiwanego miRNA</w:t>
            </w:r>
          </w:p>
          <w:p w:rsidR="00C020B2" w:rsidRPr="008A3142" w:rsidRDefault="00C020B2" w:rsidP="00C020B2">
            <w:pPr>
              <w:spacing w:after="0" w:line="240" w:lineRule="auto"/>
              <w:rPr>
                <w:rFonts w:asciiTheme="minorHAnsi" w:hAnsiTheme="minorHAnsi" w:cstheme="minorHAnsi"/>
                <w:sz w:val="18"/>
                <w:szCs w:val="18"/>
                <w:lang w:eastAsia="pl-PL"/>
              </w:rPr>
            </w:pPr>
            <w:r w:rsidRPr="008A3142">
              <w:rPr>
                <w:rFonts w:asciiTheme="minorHAnsi" w:hAnsiTheme="minorHAnsi" w:cstheme="minorHAnsi"/>
                <w:sz w:val="18"/>
                <w:szCs w:val="18"/>
                <w:lang w:eastAsia="pl-PL"/>
              </w:rPr>
              <w:t>- minimalna objętość buforu do elucji gwarantuje wysokie stężenie miRNA</w:t>
            </w:r>
          </w:p>
        </w:tc>
        <w:tc>
          <w:tcPr>
            <w:tcW w:w="1558" w:type="dxa"/>
            <w:tcBorders>
              <w:top w:val="single" w:sz="4" w:space="0" w:color="auto"/>
              <w:left w:val="nil"/>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217184</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eastAsia="Times New Roman" w:hAnsiTheme="minorHAnsi" w:cstheme="minorHAnsi"/>
                <w:sz w:val="18"/>
                <w:szCs w:val="18"/>
              </w:rPr>
            </w:pPr>
            <w:r w:rsidRPr="008A3142">
              <w:rPr>
                <w:rFonts w:asciiTheme="minorHAnsi" w:eastAsia="Times New Roman" w:hAnsiTheme="minorHAnsi" w:cstheme="minorHAnsi"/>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C020B2">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917792"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6"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3"/>
        <w:gridCol w:w="1263"/>
        <w:gridCol w:w="13"/>
        <w:gridCol w:w="838"/>
        <w:gridCol w:w="850"/>
        <w:gridCol w:w="13"/>
        <w:gridCol w:w="1263"/>
        <w:gridCol w:w="13"/>
        <w:gridCol w:w="1688"/>
        <w:gridCol w:w="13"/>
      </w:tblGrid>
      <w:tr w:rsidR="00C020B2" w:rsidRPr="003670DE" w:rsidTr="00C020B2">
        <w:trPr>
          <w:gridAfter w:val="1"/>
          <w:wAfter w:w="13"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C020B2" w:rsidRDefault="00C020B2"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C020B2">
              <w:rPr>
                <w:rFonts w:asciiTheme="minorHAnsi" w:eastAsia="Times New Roman" w:hAnsiTheme="minorHAnsi" w:cstheme="minorHAnsi"/>
                <w:sz w:val="18"/>
                <w:szCs w:val="20"/>
              </w:rPr>
              <w:t xml:space="preserve">Zgodne z numerem katalogowym firmy </w:t>
            </w:r>
            <w:r w:rsidRPr="00C020B2">
              <w:rPr>
                <w:rFonts w:asciiTheme="minorHAnsi" w:eastAsia="Times New Roman" w:hAnsiTheme="minorHAnsi" w:cstheme="minorHAnsi"/>
                <w:sz w:val="18"/>
                <w:szCs w:val="20"/>
              </w:rPr>
              <w:lastRenderedPageBreak/>
              <w:t>Eppendorf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lastRenderedPageBreak/>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 xml:space="preserve">Nazwa, producent i nr katalogowy </w:t>
            </w:r>
            <w:r w:rsidRPr="002A54DE">
              <w:rPr>
                <w:rFonts w:asciiTheme="minorHAnsi" w:hAnsiTheme="minorHAnsi" w:cstheme="minorHAnsi"/>
                <w:bCs/>
                <w:sz w:val="20"/>
                <w:szCs w:val="20"/>
              </w:rPr>
              <w:lastRenderedPageBreak/>
              <w:t>oferowanego produktu</w:t>
            </w:r>
          </w:p>
        </w:tc>
      </w:tr>
      <w:tr w:rsidR="00C020B2" w:rsidRPr="003670DE" w:rsidTr="00C020B2">
        <w:trPr>
          <w:gridAfter w:val="1"/>
          <w:wAfter w:w="13"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D337C5">
            <w:pPr>
              <w:spacing w:after="0" w:line="240" w:lineRule="auto"/>
              <w:rPr>
                <w:rFonts w:asciiTheme="minorHAnsi" w:eastAsia="Times New Roman" w:hAnsiTheme="minorHAnsi" w:cstheme="minorHAnsi"/>
                <w:bCs/>
                <w:sz w:val="20"/>
                <w:szCs w:val="20"/>
                <w:lang w:eastAsia="pl-PL"/>
              </w:rPr>
            </w:pPr>
          </w:p>
        </w:tc>
      </w:tr>
      <w:tr w:rsidR="00C020B2" w:rsidRPr="003670DE" w:rsidTr="00C020B2">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C020B2" w:rsidRPr="0048696C" w:rsidRDefault="00C020B2" w:rsidP="002315FA">
            <w:pPr>
              <w:pStyle w:val="Akapitzlist"/>
              <w:numPr>
                <w:ilvl w:val="0"/>
                <w:numId w:val="5"/>
              </w:numPr>
              <w:tabs>
                <w:tab w:val="right" w:pos="14580"/>
              </w:tabs>
              <w:spacing w:after="0" w:line="240" w:lineRule="auto"/>
              <w:ind w:left="0" w:right="455"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hideMark/>
          </w:tcPr>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Probówki Safe-Lock Tubes 2,0ml, bezbarwne, 1000 szt w opakowaniu</w:t>
            </w:r>
          </w:p>
          <w:p w:rsidR="00C020B2" w:rsidRPr="008A3142" w:rsidRDefault="00C020B2" w:rsidP="00C020B2">
            <w:pPr>
              <w:spacing w:after="0"/>
              <w:rPr>
                <w:rFonts w:asciiTheme="minorHAnsi" w:hAnsiTheme="minorHAnsi" w:cstheme="minorHAnsi"/>
                <w:sz w:val="18"/>
                <w:szCs w:val="18"/>
                <w:lang w:val="en-US"/>
              </w:rPr>
            </w:pP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Zaznaczone na probówce wskaźniki objętości: 0,5, 1, 1,5, 2 ml umożliwiające wzrokowe określenie objętości próbki</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Matowa powierzchnia na korku i po stronie zewnętrznej probówki umożliwiająca łatwe podpisywanie próbek.</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Korek zapobiega niepożądanemu odskoczeniu wieczka i otwiera się go bez obawy przed ewentualnym skażeniem. </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Duża wytrzymałość na chemikalia, obciążenia mechaniczne i ekstremalne temperatury.</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Wytrzymałe do prędkości wirowania 25 000xg </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Probówki wyprodukowane z najwyższej jakości polipropylenu bez dodatku plastyfikatorów, biocydów, oleamidów – poświadczenie certyfikatem.</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Precyzyjne uszczelnienie korka gwarantuje minimalne parowanie w czasie długiego przechowywania</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System zamykania probówki zapewniający wysoką szczelność SafeLock lub równoważny</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Zapewniona sprawność w temperaturach od -86°C do +100°C</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Możliwość sterylizacji w autoklawie przy otwartym korku</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Bezbarwne, </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Opakowanie zawiera 1000 szt.</w:t>
            </w:r>
          </w:p>
          <w:p w:rsidR="00C020B2" w:rsidRPr="008A3142" w:rsidRDefault="00C020B2" w:rsidP="00C020B2">
            <w:pPr>
              <w:spacing w:after="0"/>
              <w:rPr>
                <w:rFonts w:asciiTheme="minorHAnsi" w:hAnsiTheme="minorHAnsi" w:cstheme="minorHAnsi"/>
                <w:sz w:val="18"/>
                <w:szCs w:val="18"/>
              </w:rPr>
            </w:pPr>
          </w:p>
        </w:tc>
        <w:tc>
          <w:tcPr>
            <w:tcW w:w="1558" w:type="dxa"/>
            <w:tcBorders>
              <w:top w:val="single" w:sz="4" w:space="0" w:color="auto"/>
              <w:left w:val="nil"/>
              <w:bottom w:val="single" w:sz="4" w:space="0" w:color="auto"/>
              <w:right w:val="single" w:sz="4" w:space="0" w:color="auto"/>
            </w:tcBorders>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0030120094</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C020B2" w:rsidRPr="0048696C" w:rsidRDefault="00C020B2" w:rsidP="002315FA">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Probówki Safe-Lock Tubes 1,5ml, bezbarwne, 1000 szt w opakowaniu</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Objętość probówki 1,5 ml</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Pokrywka Eppendorf Safe-Lock z zawiasem chroni przed niezamierzonym otwarciem podczas inkubacji lub przechowywania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Polipropylen zapewnia dużą wytrzymałość na działanie substancji chemicznych, obciążenia mechaniczne i ekstremalne temperatury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Produkcja bez żadnych środków ułatwiających wyjmowanie z formy, zmiękczaczy, biocydów – substancji, które, jak wykazano, mogą przeniknąć do próbki z tworzywa materiałów zużywalnych i negatywnie wpłynąć na badania biologiczne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g-Safe®: Wyjątkowa wytrzymałość na wirowanie do 30.000 × g chroni przed utratą próbki z powodu pęknięcia probówki i zapewnia dodatkowe bezpieczeństwo podczas pracy z niebezpiecznym materiałem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Szczelna pokrywka skutecznie chroni próbkę przed wyparowaniem w trakcie długiego przechowywania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Matowa powierzchnia i pokrywka ułatwiające opisywanie próbek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Gwarancja skuteczności od -86 °C do 100 °C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Autoklawowalne po otwarciu (121 °C, 20 min)</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Bezbarwne, </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Opakowanie zawiera 1000 szt.</w:t>
            </w:r>
          </w:p>
          <w:p w:rsidR="00C020B2" w:rsidRPr="008A3142" w:rsidRDefault="00C020B2" w:rsidP="00C020B2">
            <w:pPr>
              <w:autoSpaceDE w:val="0"/>
              <w:autoSpaceDN w:val="0"/>
              <w:adjustRightInd w:val="0"/>
              <w:spacing w:after="0"/>
              <w:rPr>
                <w:rFonts w:asciiTheme="minorHAnsi" w:hAnsiTheme="minorHAnsi" w:cstheme="minorHAnsi"/>
                <w:sz w:val="18"/>
                <w:szCs w:val="18"/>
                <w:lang w:val="en-US"/>
              </w:rPr>
            </w:pPr>
          </w:p>
        </w:tc>
        <w:tc>
          <w:tcPr>
            <w:tcW w:w="1558" w:type="dxa"/>
            <w:tcBorders>
              <w:top w:val="single" w:sz="4" w:space="0" w:color="auto"/>
              <w:left w:val="nil"/>
              <w:bottom w:val="single" w:sz="4" w:space="0" w:color="auto"/>
              <w:right w:val="single" w:sz="4" w:space="0" w:color="auto"/>
            </w:tcBorders>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0030120086</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C020B2" w:rsidRPr="0048696C" w:rsidRDefault="00C020B2" w:rsidP="002315FA">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Probówki do PCR 0,2ml połączone w pasek 8 szt., bezbarwne, po 120 sztuk (= 960 probówek)</w:t>
            </w:r>
          </w:p>
          <w:p w:rsidR="00C020B2" w:rsidRPr="008A3142" w:rsidRDefault="00C020B2" w:rsidP="00C020B2">
            <w:pPr>
              <w:spacing w:after="0"/>
              <w:rPr>
                <w:rFonts w:asciiTheme="minorHAnsi" w:hAnsiTheme="minorHAnsi" w:cstheme="minorHAnsi"/>
                <w:sz w:val="18"/>
                <w:szCs w:val="18"/>
                <w:lang w:val="en-US"/>
              </w:rPr>
            </w:pP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Objętość probówki 0,2 ml połączone w pasek 8 sztuk w rzędzie z indywidualnym zamknięciem każdej probówki</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lastRenderedPageBreak/>
              <w:t>Matowa powierzchnia po stronie zewnętrznej probówki oraz na zewnętrznej powierzchni korka umożliwiająca łatwe podpisywanie próbek.</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 xml:space="preserve">Korek zawieszony na zawiasie umożliwia określoną pozycję wieczka </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Precyzyjne uszczelnienie korka gwarantuje minimalne parowanie oraz zabezpieczenie przed kontaminacją</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Łatwe otwarcie probówek</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Do stosowania we wszystkich typowych termocyklerach z formatem bloku 0,2 ml</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Cienkościenne</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Probówki wyprodukowane z najwyższej jakości polipropylenu bez dodatku plastyfikatorów, biocydów, oleamidów – poświadczenie certyfikatem.</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Możliwość sterylizacji w autoklawie przy otwartym korku</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Możliwość ściągnięcia ze strony internetowej producenta certyfikatu do każdej wyprodukowanej partii</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Nie zawierają inhibitorów reakcji PCR, ludzkiego DNA, DNAz oraz RNAz – wymagane poświadczenie certyfikatem</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Sterylne, niepirogenne, bezbarwne</w:t>
            </w:r>
          </w:p>
          <w:p w:rsidR="00C020B2" w:rsidRPr="008A3142" w:rsidRDefault="00C020B2" w:rsidP="00C020B2">
            <w:pPr>
              <w:spacing w:after="0"/>
              <w:rPr>
                <w:rFonts w:asciiTheme="minorHAnsi" w:hAnsiTheme="minorHAnsi" w:cstheme="minorHAnsi"/>
                <w:sz w:val="18"/>
                <w:szCs w:val="18"/>
                <w:lang w:val="en-US"/>
              </w:rPr>
            </w:pPr>
            <w:r w:rsidRPr="008A3142">
              <w:rPr>
                <w:rFonts w:asciiTheme="minorHAnsi" w:hAnsiTheme="minorHAnsi" w:cstheme="minorHAnsi"/>
                <w:sz w:val="18"/>
                <w:szCs w:val="18"/>
                <w:lang w:val="en-US"/>
              </w:rPr>
              <w:t>Pakowane po 120 pasków (w sumie 960 probówek).</w:t>
            </w:r>
          </w:p>
        </w:tc>
        <w:tc>
          <w:tcPr>
            <w:tcW w:w="1558" w:type="dxa"/>
            <w:tcBorders>
              <w:top w:val="single" w:sz="4" w:space="0" w:color="auto"/>
              <w:left w:val="nil"/>
              <w:bottom w:val="single" w:sz="4" w:space="0" w:color="auto"/>
              <w:right w:val="single" w:sz="4" w:space="0" w:color="auto"/>
            </w:tcBorders>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lastRenderedPageBreak/>
              <w:t>0030124359</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C020B2" w:rsidRPr="008A3142" w:rsidRDefault="00C020B2" w:rsidP="00C020B2">
            <w:pPr>
              <w:jc w:val="center"/>
              <w:rPr>
                <w:rFonts w:asciiTheme="minorHAnsi" w:hAnsiTheme="minorHAnsi" w:cstheme="minorHAnsi"/>
                <w:sz w:val="18"/>
                <w:szCs w:val="18"/>
              </w:rPr>
            </w:pPr>
            <w:r w:rsidRPr="008A3142">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8A3142" w:rsidRDefault="00C020B2" w:rsidP="00C020B2">
            <w:pPr>
              <w:spacing w:after="0" w:line="240" w:lineRule="auto"/>
              <w:jc w:val="center"/>
              <w:rPr>
                <w:rFonts w:asciiTheme="minorHAnsi" w:hAnsiTheme="minorHAnsi" w:cstheme="minorHAnsi"/>
                <w:sz w:val="18"/>
                <w:szCs w:val="18"/>
              </w:rPr>
            </w:pPr>
            <w:r w:rsidRPr="008A3142">
              <w:rPr>
                <w:rFonts w:asciiTheme="minorHAnsi" w:hAnsiTheme="minorHAnsi" w:cstheme="minorHAnsi"/>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trHeight w:val="372"/>
        </w:trPr>
        <w:tc>
          <w:tcPr>
            <w:tcW w:w="9082"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lastRenderedPageBreak/>
        <w:t>(podpisy upełnomocnionych przedstawicieli Wykonawcy</w:t>
      </w:r>
      <w:r>
        <w:rPr>
          <w:rFonts w:ascii="Book Antiqua" w:hAnsi="Book Antiqua"/>
          <w:sz w:val="20"/>
          <w:szCs w:val="20"/>
        </w:rPr>
        <w:t>)</w:t>
      </w: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4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9"/>
        <w:gridCol w:w="1257"/>
        <w:gridCol w:w="19"/>
        <w:gridCol w:w="832"/>
        <w:gridCol w:w="850"/>
        <w:gridCol w:w="19"/>
        <w:gridCol w:w="1257"/>
        <w:gridCol w:w="19"/>
        <w:gridCol w:w="1682"/>
        <w:gridCol w:w="19"/>
      </w:tblGrid>
      <w:tr w:rsidR="00C020B2" w:rsidRPr="003670DE" w:rsidTr="00C01EE0">
        <w:trPr>
          <w:gridAfter w:val="1"/>
          <w:wAfter w:w="1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C020B2" w:rsidRDefault="00C020B2"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C020B2">
              <w:rPr>
                <w:rFonts w:asciiTheme="minorHAnsi" w:eastAsia="Times New Roman" w:hAnsiTheme="minorHAnsi" w:cstheme="minorHAnsi"/>
                <w:sz w:val="18"/>
                <w:szCs w:val="18"/>
              </w:rPr>
              <w:t>Zgodne z numerem katalogowym firmy A&amp;A Biotechnology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20B2" w:rsidRPr="003670DE" w:rsidTr="00C01EE0">
        <w:trPr>
          <w:gridAfter w:val="1"/>
          <w:wAfter w:w="1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D337C5">
            <w:pPr>
              <w:spacing w:after="0" w:line="240" w:lineRule="auto"/>
              <w:rPr>
                <w:rFonts w:asciiTheme="minorHAnsi" w:eastAsia="Times New Roman" w:hAnsiTheme="minorHAnsi" w:cstheme="minorHAnsi"/>
                <w:bCs/>
                <w:sz w:val="20"/>
                <w:szCs w:val="20"/>
                <w:lang w:eastAsia="pl-PL"/>
              </w:rPr>
            </w:pPr>
          </w:p>
        </w:tc>
      </w:tr>
      <w:tr w:rsidR="00C020B2" w:rsidRPr="003670DE" w:rsidTr="00C01EE0">
        <w:trPr>
          <w:gridAfter w:val="1"/>
          <w:wAfter w:w="1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C020B2" w:rsidRPr="0048696C" w:rsidRDefault="00C020B2" w:rsidP="002315FA">
            <w:pPr>
              <w:pStyle w:val="Akapitzlist"/>
              <w:numPr>
                <w:ilvl w:val="0"/>
                <w:numId w:val="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C020B2" w:rsidRPr="00C020B2" w:rsidRDefault="00C020B2" w:rsidP="00C020B2">
            <w:pPr>
              <w:spacing w:after="0" w:line="240" w:lineRule="auto"/>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ExTerminator, opakowanie zawiera 250 reakcji</w:t>
            </w:r>
          </w:p>
        </w:tc>
        <w:tc>
          <w:tcPr>
            <w:tcW w:w="1558" w:type="dxa"/>
            <w:tcBorders>
              <w:top w:val="single" w:sz="4" w:space="0" w:color="auto"/>
              <w:left w:val="nil"/>
              <w:bottom w:val="single" w:sz="4" w:space="0" w:color="auto"/>
              <w:right w:val="single" w:sz="4" w:space="0" w:color="auto"/>
            </w:tcBorders>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444-250</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op.</w:t>
            </w:r>
          </w:p>
        </w:tc>
        <w:tc>
          <w:tcPr>
            <w:tcW w:w="569" w:type="dxa"/>
            <w:tcBorders>
              <w:top w:val="single" w:sz="4" w:space="0" w:color="auto"/>
              <w:left w:val="nil"/>
              <w:bottom w:val="single" w:sz="4" w:space="0" w:color="auto"/>
              <w:right w:val="single" w:sz="4" w:space="0" w:color="auto"/>
            </w:tcBorders>
            <w:noWrap/>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1EE0">
        <w:trPr>
          <w:gridAfter w:val="1"/>
          <w:wAfter w:w="19" w:type="dxa"/>
          <w:trHeight w:val="399"/>
        </w:trPr>
        <w:tc>
          <w:tcPr>
            <w:tcW w:w="421" w:type="dxa"/>
            <w:tcBorders>
              <w:top w:val="single" w:sz="4" w:space="0" w:color="auto"/>
              <w:left w:val="single" w:sz="4" w:space="0" w:color="auto"/>
              <w:bottom w:val="single" w:sz="4" w:space="0" w:color="auto"/>
              <w:right w:val="single" w:sz="4" w:space="0" w:color="auto"/>
            </w:tcBorders>
            <w:noWrap/>
          </w:tcPr>
          <w:p w:rsidR="00C020B2" w:rsidRPr="0048696C" w:rsidRDefault="00C020B2" w:rsidP="002315FA">
            <w:pPr>
              <w:pStyle w:val="Akapitzlist"/>
              <w:numPr>
                <w:ilvl w:val="0"/>
                <w:numId w:val="6"/>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C020B2" w:rsidRPr="00C020B2" w:rsidRDefault="00C020B2" w:rsidP="00C020B2">
            <w:pPr>
              <w:spacing w:after="0" w:line="240" w:lineRule="auto"/>
              <w:rPr>
                <w:rFonts w:asciiTheme="minorHAnsi" w:eastAsia="Times New Roman" w:hAnsiTheme="minorHAnsi" w:cstheme="minorHAnsi"/>
                <w:sz w:val="18"/>
                <w:szCs w:val="20"/>
                <w:lang w:eastAsia="pl-PL"/>
              </w:rPr>
            </w:pPr>
            <w:r w:rsidRPr="00C020B2">
              <w:rPr>
                <w:rFonts w:asciiTheme="minorHAnsi" w:eastAsia="Times New Roman" w:hAnsiTheme="minorHAnsi" w:cstheme="minorHAnsi"/>
                <w:bCs/>
                <w:sz w:val="18"/>
                <w:szCs w:val="20"/>
              </w:rPr>
              <w:t>Genomic Mini AX Plant, opakowanie zawiera 60 izolacji</w:t>
            </w:r>
          </w:p>
        </w:tc>
        <w:tc>
          <w:tcPr>
            <w:tcW w:w="1558" w:type="dxa"/>
            <w:tcBorders>
              <w:top w:val="single" w:sz="4" w:space="0" w:color="auto"/>
              <w:left w:val="nil"/>
              <w:bottom w:val="single" w:sz="4" w:space="0" w:color="auto"/>
              <w:right w:val="single" w:sz="4" w:space="0" w:color="auto"/>
            </w:tcBorders>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050-60</w:t>
            </w:r>
          </w:p>
        </w:tc>
        <w:tc>
          <w:tcPr>
            <w:tcW w:w="567" w:type="dxa"/>
            <w:tcBorders>
              <w:top w:val="single" w:sz="4" w:space="0" w:color="auto"/>
              <w:left w:val="single" w:sz="4" w:space="0" w:color="auto"/>
              <w:bottom w:val="single" w:sz="4" w:space="0" w:color="auto"/>
              <w:right w:val="single" w:sz="4" w:space="0" w:color="auto"/>
            </w:tcBorders>
            <w:noWrap/>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op.</w:t>
            </w:r>
          </w:p>
        </w:tc>
        <w:tc>
          <w:tcPr>
            <w:tcW w:w="569" w:type="dxa"/>
            <w:tcBorders>
              <w:top w:val="single" w:sz="4" w:space="0" w:color="auto"/>
              <w:left w:val="nil"/>
              <w:bottom w:val="single" w:sz="4" w:space="0" w:color="auto"/>
              <w:right w:val="single" w:sz="4" w:space="0" w:color="auto"/>
            </w:tcBorders>
            <w:noWrap/>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C020B2" w:rsidRDefault="00C020B2" w:rsidP="00C020B2">
            <w:pPr>
              <w:spacing w:after="0" w:line="240" w:lineRule="auto"/>
              <w:jc w:val="center"/>
              <w:rPr>
                <w:rFonts w:asciiTheme="minorHAnsi" w:eastAsia="Times New Roman" w:hAnsiTheme="minorHAnsi" w:cstheme="minorHAnsi"/>
                <w:sz w:val="18"/>
                <w:szCs w:val="20"/>
              </w:rPr>
            </w:pPr>
            <w:r w:rsidRPr="00C020B2">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20B2" w:rsidRPr="007C77ED" w:rsidRDefault="00C020B2" w:rsidP="00C020B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20B2" w:rsidRPr="002A54DE" w:rsidRDefault="00C020B2" w:rsidP="00C020B2">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1EE0">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20B2">
      <w:pPr>
        <w:spacing w:after="120" w:line="240" w:lineRule="auto"/>
        <w:ind w:right="-426"/>
        <w:rPr>
          <w:rFonts w:asciiTheme="minorHAnsi" w:hAnsiTheme="minorHAnsi" w:cs="Arial"/>
          <w:sz w:val="18"/>
        </w:rPr>
      </w:pPr>
    </w:p>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C4907" w:rsidRPr="000B1088" w:rsidRDefault="00413DFC"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100" w:type="dxa"/>
        <w:tblLayout w:type="fixed"/>
        <w:tblCellMar>
          <w:left w:w="70" w:type="dxa"/>
          <w:right w:w="70" w:type="dxa"/>
        </w:tblCellMar>
        <w:tblLook w:val="04A0" w:firstRow="1" w:lastRow="0" w:firstColumn="1" w:lastColumn="0" w:noHBand="0" w:noVBand="1"/>
      </w:tblPr>
      <w:tblGrid>
        <w:gridCol w:w="421"/>
        <w:gridCol w:w="3969"/>
        <w:gridCol w:w="1560"/>
        <w:gridCol w:w="567"/>
        <w:gridCol w:w="566"/>
        <w:gridCol w:w="992"/>
        <w:gridCol w:w="992"/>
        <w:gridCol w:w="1276"/>
        <w:gridCol w:w="74"/>
        <w:gridCol w:w="777"/>
        <w:gridCol w:w="850"/>
        <w:gridCol w:w="12"/>
        <w:gridCol w:w="1264"/>
        <w:gridCol w:w="79"/>
        <w:gridCol w:w="1622"/>
        <w:gridCol w:w="79"/>
      </w:tblGrid>
      <w:tr w:rsidR="00AC4907" w:rsidRPr="003670DE" w:rsidTr="00C01EE0">
        <w:trPr>
          <w:gridAfter w:val="1"/>
          <w:wAfter w:w="7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lang w:eastAsia="pl-PL"/>
              </w:rPr>
              <w:t>L.p.</w:t>
            </w:r>
          </w:p>
        </w:tc>
        <w:tc>
          <w:tcPr>
            <w:tcW w:w="3969"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C01EE0" w:rsidRDefault="00C01EE0"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rPr>
              <w:t>Zgodne z numerem katalogowym firmy Nimagen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6"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C01EE0">
        <w:trPr>
          <w:gridAfter w:val="1"/>
          <w:wAfter w:w="7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3969"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566"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C01EE0" w:rsidRPr="003670DE" w:rsidTr="00C01EE0">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hideMark/>
          </w:tcPr>
          <w:p w:rsidR="00C01EE0" w:rsidRPr="00FE7552" w:rsidRDefault="00C01EE0" w:rsidP="00C01EE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69" w:type="dxa"/>
            <w:tcBorders>
              <w:top w:val="single" w:sz="4" w:space="0" w:color="auto"/>
              <w:left w:val="nil"/>
              <w:bottom w:val="single" w:sz="4" w:space="0" w:color="auto"/>
              <w:right w:val="single" w:sz="4" w:space="0" w:color="auto"/>
            </w:tcBorders>
            <w:hideMark/>
          </w:tcPr>
          <w:p w:rsidR="00C01EE0" w:rsidRPr="00C01EE0" w:rsidRDefault="00C01EE0" w:rsidP="00C01EE0">
            <w:pPr>
              <w:spacing w:after="0"/>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lang w:eastAsia="pl-PL"/>
              </w:rPr>
              <w:t>Kit BrilliantDye Terminator V3.1 Cycle Sequencing, opakowanie zawiera 100 reakcji</w:t>
            </w:r>
          </w:p>
        </w:tc>
        <w:tc>
          <w:tcPr>
            <w:tcW w:w="1560" w:type="dxa"/>
            <w:tcBorders>
              <w:top w:val="single" w:sz="4" w:space="0" w:color="auto"/>
              <w:left w:val="nil"/>
              <w:bottom w:val="single" w:sz="4" w:space="0" w:color="auto"/>
              <w:right w:val="single" w:sz="4" w:space="0" w:color="auto"/>
            </w:tcBorders>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BRD3-100</w:t>
            </w:r>
          </w:p>
        </w:tc>
        <w:tc>
          <w:tcPr>
            <w:tcW w:w="567" w:type="dxa"/>
            <w:tcBorders>
              <w:top w:val="single" w:sz="4" w:space="0" w:color="auto"/>
              <w:left w:val="single" w:sz="4" w:space="0" w:color="auto"/>
              <w:bottom w:val="single" w:sz="4" w:space="0" w:color="auto"/>
              <w:right w:val="single" w:sz="4" w:space="0" w:color="auto"/>
            </w:tcBorders>
            <w:noWrap/>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op.</w:t>
            </w:r>
          </w:p>
        </w:tc>
        <w:tc>
          <w:tcPr>
            <w:tcW w:w="566" w:type="dxa"/>
            <w:tcBorders>
              <w:top w:val="single" w:sz="4" w:space="0" w:color="auto"/>
              <w:left w:val="nil"/>
              <w:bottom w:val="single" w:sz="4" w:space="0" w:color="auto"/>
              <w:right w:val="single" w:sz="4" w:space="0" w:color="auto"/>
            </w:tcBorders>
            <w:noWrap/>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C01EE0" w:rsidRDefault="00C01EE0" w:rsidP="00C01EE0">
            <w:pPr>
              <w:jc w:val="center"/>
              <w:rPr>
                <w:rFonts w:asciiTheme="minorHAnsi" w:eastAsia="Times New Roman" w:hAnsiTheme="minorHAnsi" w:cstheme="minorHAnsi"/>
                <w:sz w:val="18"/>
                <w:szCs w:val="20"/>
              </w:rPr>
            </w:pPr>
            <w:r w:rsidRPr="00C01EE0">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7C77ED" w:rsidRDefault="00C01EE0" w:rsidP="00C01EE0">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C01EE0">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50" w:type="dxa"/>
            <w:gridSpan w:val="2"/>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3"/>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343" w:type="dxa"/>
            <w:gridSpan w:val="2"/>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C01EE0">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C01EE0" w:rsidRDefault="00C01EE0"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C01EE0">
              <w:rPr>
                <w:rFonts w:asciiTheme="minorHAnsi" w:eastAsia="Times New Roman" w:hAnsiTheme="minorHAnsi" w:cstheme="minorHAnsi"/>
                <w:sz w:val="18"/>
                <w:szCs w:val="20"/>
              </w:rPr>
              <w:t>Zgodne z numerem katalogowym firmy Dom Handlowy Nauki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C01EE0">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C01EE0" w:rsidRPr="003670DE" w:rsidTr="00C01EE0">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C01EE0" w:rsidRPr="0048696C" w:rsidRDefault="00C01EE0" w:rsidP="002315FA">
            <w:pPr>
              <w:pStyle w:val="Akapitzlist"/>
              <w:numPr>
                <w:ilvl w:val="0"/>
                <w:numId w:val="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C01EE0" w:rsidRPr="00C01EE0" w:rsidRDefault="00C01EE0" w:rsidP="00C01EE0">
            <w:pPr>
              <w:spacing w:after="0"/>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Końcówki do pipet Omnitip 1-10ul, stos Reload FastRack, 96 x 10, opakowanie zawiera 960 szt.</w:t>
            </w:r>
          </w:p>
        </w:tc>
        <w:tc>
          <w:tcPr>
            <w:tcW w:w="1558" w:type="dxa"/>
            <w:tcBorders>
              <w:top w:val="single" w:sz="4" w:space="0" w:color="auto"/>
              <w:left w:val="nil"/>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81710</w:t>
            </w:r>
          </w:p>
        </w:tc>
        <w:tc>
          <w:tcPr>
            <w:tcW w:w="567" w:type="dxa"/>
            <w:tcBorders>
              <w:top w:val="single" w:sz="4" w:space="0" w:color="auto"/>
              <w:left w:val="single" w:sz="4" w:space="0" w:color="auto"/>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7C77ED" w:rsidRDefault="00C01EE0" w:rsidP="00C01EE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C01EE0" w:rsidRPr="0048696C" w:rsidRDefault="00C01EE0" w:rsidP="002315FA">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C01EE0" w:rsidRPr="00C01EE0" w:rsidRDefault="00C01EE0" w:rsidP="00C01EE0">
            <w:pPr>
              <w:spacing w:after="0"/>
              <w:rPr>
                <w:rFonts w:asciiTheme="minorHAnsi" w:eastAsia="Times New Roman" w:hAnsiTheme="minorHAnsi" w:cstheme="minorHAnsi"/>
                <w:sz w:val="18"/>
                <w:szCs w:val="18"/>
                <w:lang w:eastAsia="pl-PL"/>
              </w:rPr>
            </w:pPr>
            <w:r w:rsidRPr="00C01EE0">
              <w:rPr>
                <w:rFonts w:asciiTheme="minorHAnsi" w:eastAsia="Times New Roman" w:hAnsiTheme="minorHAnsi" w:cstheme="minorHAnsi"/>
                <w:bCs/>
                <w:sz w:val="18"/>
                <w:szCs w:val="18"/>
              </w:rPr>
              <w:t>Końcówki do pipet Omnitip 10-100ul, stos Reload FastRack, 96 x 10, opakowanie zawiera 960 szt.</w:t>
            </w:r>
          </w:p>
        </w:tc>
        <w:tc>
          <w:tcPr>
            <w:tcW w:w="1558" w:type="dxa"/>
            <w:tcBorders>
              <w:top w:val="single" w:sz="4" w:space="0" w:color="auto"/>
              <w:left w:val="nil"/>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83710</w:t>
            </w:r>
          </w:p>
        </w:tc>
        <w:tc>
          <w:tcPr>
            <w:tcW w:w="567" w:type="dxa"/>
            <w:tcBorders>
              <w:top w:val="single" w:sz="4" w:space="0" w:color="auto"/>
              <w:left w:val="single" w:sz="4" w:space="0" w:color="auto"/>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7C77ED" w:rsidRDefault="00C01EE0" w:rsidP="00C01EE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C01EE0" w:rsidRPr="0048696C" w:rsidRDefault="00C01EE0" w:rsidP="002315FA">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C01EE0" w:rsidRPr="00C01EE0" w:rsidRDefault="00C01EE0" w:rsidP="00C01EE0">
            <w:pPr>
              <w:spacing w:after="0"/>
              <w:rPr>
                <w:rFonts w:asciiTheme="minorHAnsi" w:eastAsia="Times New Roman" w:hAnsiTheme="minorHAnsi" w:cstheme="minorHAnsi"/>
                <w:bCs/>
                <w:sz w:val="18"/>
                <w:szCs w:val="18"/>
              </w:rPr>
            </w:pPr>
            <w:r w:rsidRPr="00C01EE0">
              <w:rPr>
                <w:rFonts w:asciiTheme="minorHAnsi" w:eastAsia="Times New Roman" w:hAnsiTheme="minorHAnsi" w:cstheme="minorHAnsi"/>
                <w:bCs/>
                <w:sz w:val="18"/>
                <w:szCs w:val="18"/>
              </w:rPr>
              <w:t>Końcówki do pipet Omnitip 100-1000ul, stos Reload FastRack, 96 x 6, opakowanie zawiera 576 szt.</w:t>
            </w:r>
          </w:p>
        </w:tc>
        <w:tc>
          <w:tcPr>
            <w:tcW w:w="1558" w:type="dxa"/>
            <w:tcBorders>
              <w:top w:val="single" w:sz="4" w:space="0" w:color="auto"/>
              <w:left w:val="nil"/>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85710</w:t>
            </w:r>
          </w:p>
        </w:tc>
        <w:tc>
          <w:tcPr>
            <w:tcW w:w="567" w:type="dxa"/>
            <w:tcBorders>
              <w:top w:val="single" w:sz="4" w:space="0" w:color="auto"/>
              <w:left w:val="single" w:sz="4" w:space="0" w:color="auto"/>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C01EE0" w:rsidRDefault="00C01EE0" w:rsidP="00C01EE0">
            <w:pPr>
              <w:spacing w:after="0" w:line="240" w:lineRule="auto"/>
              <w:jc w:val="center"/>
              <w:rPr>
                <w:rFonts w:asciiTheme="minorHAnsi" w:eastAsia="Times New Roman" w:hAnsiTheme="minorHAnsi" w:cstheme="minorHAnsi"/>
                <w:sz w:val="18"/>
                <w:szCs w:val="18"/>
              </w:rPr>
            </w:pPr>
            <w:r w:rsidRPr="00C01EE0">
              <w:rPr>
                <w:rFonts w:asciiTheme="minorHAnsi" w:eastAsia="Times New Roman" w:hAnsiTheme="minorHAnsi" w:cstheme="minorHAnsi"/>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C01EE0" w:rsidRPr="007C77ED" w:rsidRDefault="00C01EE0" w:rsidP="00C01EE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C01EE0" w:rsidRPr="002A54DE" w:rsidRDefault="00C01EE0"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C01EE0">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7415D4">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B37177" w:rsidRDefault="00B37177"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B37177">
              <w:rPr>
                <w:rFonts w:asciiTheme="minorHAnsi" w:eastAsia="Times New Roman" w:hAnsiTheme="minorHAnsi" w:cstheme="minorHAnsi"/>
                <w:sz w:val="18"/>
                <w:szCs w:val="20"/>
              </w:rPr>
              <w:t xml:space="preserve">Zgodne z numerem katalogowym firmy </w:t>
            </w:r>
            <w:r w:rsidRPr="00B37177">
              <w:rPr>
                <w:rFonts w:asciiTheme="minorHAnsi" w:eastAsia="Times New Roman" w:hAnsiTheme="minorHAnsi" w:cstheme="minorHAnsi"/>
                <w:sz w:val="18"/>
                <w:szCs w:val="20"/>
              </w:rPr>
              <w:lastRenderedPageBreak/>
              <w:t>Bionovo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lastRenderedPageBreak/>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 xml:space="preserve">Nazwa, producent i nr katalogowy </w:t>
            </w:r>
            <w:r w:rsidRPr="002A54DE">
              <w:rPr>
                <w:rFonts w:asciiTheme="minorHAnsi" w:hAnsiTheme="minorHAnsi" w:cstheme="minorHAnsi"/>
                <w:bCs/>
                <w:sz w:val="20"/>
                <w:szCs w:val="20"/>
              </w:rPr>
              <w:lastRenderedPageBreak/>
              <w:t>oferowanego produktu</w:t>
            </w:r>
          </w:p>
        </w:tc>
      </w:tr>
      <w:tr w:rsidR="00C01EE0" w:rsidRPr="003670DE" w:rsidTr="007415D4">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7415D4" w:rsidRPr="003670DE" w:rsidTr="007415D4">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7415D4" w:rsidRPr="0048696C" w:rsidRDefault="007415D4" w:rsidP="002315FA">
            <w:pPr>
              <w:pStyle w:val="Akapitzlist"/>
              <w:numPr>
                <w:ilvl w:val="0"/>
                <w:numId w:val="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Pinceta</w:t>
            </w:r>
          </w:p>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Zagięta ze stali szlachetnej 18/8 z cienką końcówką, 160 mm długości</w:t>
            </w:r>
          </w:p>
        </w:tc>
        <w:tc>
          <w:tcPr>
            <w:tcW w:w="1558"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E-7036</w:t>
            </w:r>
          </w:p>
        </w:tc>
        <w:tc>
          <w:tcPr>
            <w:tcW w:w="567" w:type="dxa"/>
            <w:tcBorders>
              <w:top w:val="single" w:sz="4" w:space="0" w:color="auto"/>
              <w:left w:val="single" w:sz="4" w:space="0" w:color="auto"/>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3</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C77ED" w:rsidRDefault="007415D4" w:rsidP="007415D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r>
      <w:tr w:rsidR="007415D4" w:rsidRPr="003670DE" w:rsidTr="007415D4">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7415D4" w:rsidRPr="0048696C" w:rsidRDefault="007415D4" w:rsidP="002315FA">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Pinceta</w:t>
            </w:r>
          </w:p>
          <w:p w:rsidR="007415D4" w:rsidRPr="007415D4" w:rsidRDefault="007415D4" w:rsidP="007415D4">
            <w:pPr>
              <w:spacing w:after="0" w:line="240" w:lineRule="auto"/>
              <w:rPr>
                <w:rFonts w:asciiTheme="minorHAnsi" w:hAnsiTheme="minorHAnsi" w:cstheme="minorHAnsi"/>
                <w:bCs/>
                <w:sz w:val="18"/>
                <w:szCs w:val="20"/>
              </w:rPr>
            </w:pPr>
            <w:r w:rsidRPr="007415D4">
              <w:rPr>
                <w:rFonts w:asciiTheme="minorHAnsi" w:hAnsiTheme="minorHAnsi" w:cstheme="minorHAnsi"/>
                <w:sz w:val="18"/>
                <w:szCs w:val="20"/>
              </w:rPr>
              <w:t>Prosta ze stali szlachetnej 18/8 z końcami zaokrąglonymi, 145 mm długości</w:t>
            </w:r>
          </w:p>
        </w:tc>
        <w:tc>
          <w:tcPr>
            <w:tcW w:w="1558"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N-1203</w:t>
            </w:r>
          </w:p>
        </w:tc>
        <w:tc>
          <w:tcPr>
            <w:tcW w:w="567" w:type="dxa"/>
            <w:tcBorders>
              <w:top w:val="single" w:sz="4" w:space="0" w:color="auto"/>
              <w:left w:val="single" w:sz="4" w:space="0" w:color="auto"/>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C77ED" w:rsidRDefault="007415D4" w:rsidP="007415D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r>
      <w:tr w:rsidR="007415D4" w:rsidRPr="003670DE" w:rsidTr="007415D4">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7415D4" w:rsidRPr="0048696C" w:rsidRDefault="007415D4" w:rsidP="002315FA">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Pinceta</w:t>
            </w:r>
          </w:p>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Prosta ze stali szlachetnej 18/8 z końcami zaokrąglonymi, 160 mm długości</w:t>
            </w:r>
          </w:p>
        </w:tc>
        <w:tc>
          <w:tcPr>
            <w:tcW w:w="1558"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N-1204</w:t>
            </w:r>
          </w:p>
        </w:tc>
        <w:tc>
          <w:tcPr>
            <w:tcW w:w="567" w:type="dxa"/>
            <w:tcBorders>
              <w:top w:val="single" w:sz="4" w:space="0" w:color="auto"/>
              <w:left w:val="single" w:sz="4" w:space="0" w:color="auto"/>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C77ED" w:rsidRDefault="007415D4" w:rsidP="007415D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r>
      <w:tr w:rsidR="007415D4" w:rsidRPr="003670DE" w:rsidTr="007415D4">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7415D4" w:rsidRPr="0048696C" w:rsidRDefault="007415D4" w:rsidP="002315FA">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Szkiełka nakrywkowe szklane szer. 22mm, dł.22mm, gr. 0,13-0,16mm, 1op./100szt.</w:t>
            </w:r>
          </w:p>
        </w:tc>
        <w:tc>
          <w:tcPr>
            <w:tcW w:w="1558"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S-1389</w:t>
            </w:r>
          </w:p>
        </w:tc>
        <w:tc>
          <w:tcPr>
            <w:tcW w:w="567" w:type="dxa"/>
            <w:tcBorders>
              <w:top w:val="single" w:sz="4" w:space="0" w:color="auto"/>
              <w:left w:val="single" w:sz="4" w:space="0" w:color="auto"/>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2000</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C77ED" w:rsidRDefault="007415D4" w:rsidP="007415D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r>
      <w:tr w:rsidR="007415D4" w:rsidRPr="003670DE" w:rsidTr="007415D4">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7415D4" w:rsidRPr="0048696C" w:rsidRDefault="007415D4" w:rsidP="002315FA">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rPr>
                <w:rFonts w:asciiTheme="minorHAnsi" w:hAnsiTheme="minorHAnsi" w:cstheme="minorHAnsi"/>
                <w:sz w:val="18"/>
                <w:szCs w:val="20"/>
              </w:rPr>
            </w:pPr>
            <w:r w:rsidRPr="007415D4">
              <w:rPr>
                <w:rFonts w:asciiTheme="minorHAnsi" w:hAnsiTheme="minorHAnsi" w:cstheme="minorHAnsi"/>
                <w:sz w:val="18"/>
                <w:szCs w:val="20"/>
              </w:rPr>
              <w:t>Szkiełka nakrywkowe okrągłe śr.18mm, gr.0,13-0,16, 1 op./100 szt</w:t>
            </w:r>
          </w:p>
        </w:tc>
        <w:tc>
          <w:tcPr>
            <w:tcW w:w="1558" w:type="dxa"/>
            <w:tcBorders>
              <w:top w:val="single" w:sz="4" w:space="0" w:color="auto"/>
              <w:left w:val="nil"/>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1-6287</w:t>
            </w:r>
          </w:p>
        </w:tc>
        <w:tc>
          <w:tcPr>
            <w:tcW w:w="567" w:type="dxa"/>
            <w:tcBorders>
              <w:top w:val="single" w:sz="4" w:space="0" w:color="auto"/>
              <w:left w:val="single" w:sz="4" w:space="0" w:color="auto"/>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2000</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415D4" w:rsidRDefault="007415D4" w:rsidP="007415D4">
            <w:pPr>
              <w:spacing w:after="0" w:line="240" w:lineRule="auto"/>
              <w:jc w:val="center"/>
              <w:rPr>
                <w:rFonts w:asciiTheme="minorHAnsi" w:hAnsiTheme="minorHAnsi" w:cstheme="minorHAnsi"/>
                <w:sz w:val="18"/>
                <w:szCs w:val="20"/>
              </w:rPr>
            </w:pPr>
            <w:r w:rsidRPr="007415D4">
              <w:rPr>
                <w:rFonts w:asciiTheme="minorHAnsi" w:hAnsiTheme="minorHAnsi" w:cstheme="minorHAnsi"/>
                <w:sz w:val="18"/>
                <w:szCs w:val="20"/>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7415D4" w:rsidRPr="007C77ED" w:rsidRDefault="007415D4" w:rsidP="007415D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7415D4" w:rsidRPr="002A54DE" w:rsidRDefault="007415D4" w:rsidP="007415D4">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7415D4">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B37177" w:rsidRDefault="00B37177"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B37177">
              <w:rPr>
                <w:rFonts w:asciiTheme="minorHAnsi" w:eastAsia="Times New Roman" w:hAnsiTheme="minorHAnsi" w:cstheme="minorHAnsi"/>
                <w:sz w:val="18"/>
                <w:szCs w:val="20"/>
              </w:rPr>
              <w:t>Zgodne z numerem katalogowym firmy Linegal Chemicals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B37177" w:rsidRPr="003670DE" w:rsidTr="00B37177">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B37177" w:rsidRPr="0048696C" w:rsidRDefault="00B37177" w:rsidP="002315FA">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B37177" w:rsidRPr="00B37177" w:rsidRDefault="00B37177" w:rsidP="00B37177">
            <w:pPr>
              <w:spacing w:after="0" w:line="240" w:lineRule="auto"/>
              <w:rPr>
                <w:rFonts w:asciiTheme="minorHAnsi" w:hAnsiTheme="minorHAnsi" w:cstheme="minorHAnsi"/>
                <w:sz w:val="18"/>
                <w:szCs w:val="20"/>
              </w:rPr>
            </w:pPr>
            <w:r w:rsidRPr="00B37177">
              <w:rPr>
                <w:rFonts w:asciiTheme="minorHAnsi" w:hAnsiTheme="minorHAnsi" w:cstheme="minorHAnsi"/>
                <w:sz w:val="18"/>
                <w:szCs w:val="20"/>
              </w:rPr>
              <w:t>Żel krzemionkowy, pomarańczowy, 2-5 mm</w:t>
            </w:r>
          </w:p>
          <w:p w:rsidR="00B37177" w:rsidRPr="00B37177" w:rsidRDefault="00B37177" w:rsidP="00B37177">
            <w:pPr>
              <w:spacing w:after="0" w:line="240" w:lineRule="auto"/>
              <w:rPr>
                <w:rFonts w:asciiTheme="minorHAnsi" w:hAnsiTheme="minorHAnsi" w:cstheme="minorHAnsi"/>
                <w:sz w:val="18"/>
                <w:szCs w:val="20"/>
              </w:rPr>
            </w:pPr>
            <w:r w:rsidRPr="00B37177">
              <w:rPr>
                <w:rFonts w:asciiTheme="minorHAnsi" w:hAnsiTheme="minorHAnsi" w:cstheme="minorHAnsi"/>
                <w:sz w:val="18"/>
                <w:szCs w:val="20"/>
              </w:rPr>
              <w:t>Opakowanie 1 kg</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hAnsiTheme="minorHAnsi" w:cstheme="minorHAnsi"/>
                <w:bCs/>
                <w:sz w:val="18"/>
                <w:szCs w:val="20"/>
                <w:lang w:val="en-US"/>
              </w:rPr>
            </w:pPr>
            <w:r w:rsidRPr="00B37177">
              <w:rPr>
                <w:rFonts w:asciiTheme="minorHAnsi" w:hAnsiTheme="minorHAnsi" w:cstheme="minorHAnsi"/>
                <w:bCs/>
                <w:sz w:val="18"/>
                <w:szCs w:val="20"/>
                <w:lang w:val="en-US"/>
              </w:rPr>
              <w:t>ROTH-P077.1</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hAnsiTheme="minorHAnsi" w:cstheme="minorHAnsi"/>
                <w:sz w:val="18"/>
                <w:szCs w:val="20"/>
              </w:rPr>
            </w:pPr>
            <w:r w:rsidRPr="00B37177">
              <w:rPr>
                <w:rFonts w:asciiTheme="minorHAnsi" w:hAnsiTheme="minorHAnsi" w:cstheme="minorHAnsi"/>
                <w:sz w:val="18"/>
                <w:szCs w:val="20"/>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hAnsiTheme="minorHAnsi" w:cstheme="minorHAnsi"/>
                <w:sz w:val="18"/>
                <w:szCs w:val="20"/>
              </w:rPr>
            </w:pPr>
            <w:r w:rsidRPr="00B37177">
              <w:rPr>
                <w:rFonts w:asciiTheme="minorHAnsi" w:hAnsiTheme="minorHAnsi" w:cstheme="minorHAnsi"/>
                <w:sz w:val="18"/>
                <w:szCs w:val="20"/>
              </w:rPr>
              <w:t>8</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hAnsiTheme="minorHAnsi" w:cstheme="minorHAnsi"/>
                <w:sz w:val="18"/>
                <w:szCs w:val="20"/>
              </w:rPr>
            </w:pPr>
            <w:r w:rsidRPr="00B37177">
              <w:rPr>
                <w:rFonts w:asciiTheme="minorHAnsi"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B37177">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B37177" w:rsidRDefault="00B37177"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B37177">
              <w:rPr>
                <w:rFonts w:asciiTheme="minorHAnsi" w:eastAsia="Times New Roman" w:hAnsiTheme="minorHAnsi" w:cstheme="minorHAnsi"/>
                <w:sz w:val="18"/>
                <w:szCs w:val="20"/>
              </w:rPr>
              <w:t>Zgodne z numerem katalogowym firmy Chempur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B37177" w:rsidRPr="003670DE" w:rsidTr="00B37177">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B37177" w:rsidRPr="0048696C" w:rsidRDefault="00B37177" w:rsidP="002315FA">
            <w:pPr>
              <w:pStyle w:val="Akapitzlist"/>
              <w:numPr>
                <w:ilvl w:val="0"/>
                <w:numId w:val="10"/>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Glikol etylenowy CZ  60 l</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Zawartość (GC) min 98,5 %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Gęstość (20°C) 1,111 - 1,115 g/cm3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Woda max. 0,3 %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Wolne kwasy (j. CH3COOH) max. 0,001 %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Pozostałość po prażeniu max. 0,01 %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Chlorki (Cl) max. 0,001 %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Metale ciężkie (j. Pb) max. 0,0005 %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Żelazo (Fe) max. 0,0001 %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Wygląd zewnętrzny bezbarwna, oleista ciecz</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chem*424466303*60l</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Tymol  CZ 25 g</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Zawartość min 99,0 %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Temperatura topnienia  48 – 51 °C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Substancje nielotne max. 1000 ppm</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chem*428631303*25g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Etylu octan  CZDA 1l</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Zawartość min. 99,5 %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Barwa max. 10 j.Hz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Gęstość (20°C) 0,898 - 0,901 g/cm3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Woda max. 0,05 %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Wolne kwasy (j. CH3COOH) max. 0,005 %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Substancje nielotne max. 0,0025 %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lastRenderedPageBreak/>
              <w:t xml:space="preserve">Substancje organiczne obce wg przepisu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Substancje ciemniejące pod wpływem H2SO4 wg przepisu</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lastRenderedPageBreak/>
              <w:t>chem*114050300*1l</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4</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Sacharoza CZDA, 1 kg</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Wygląd zewnętrzny bezbarwne kryształy lub biały proszek</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Zawartość min. 99,8 %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Skręcalność właściwa (200C, 10%, H2O) min. 66,4°</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Substancje nierozpuszczalne w wodzie max. 0,003%</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Kwasy (j. CH3COOH) max. 0,008 %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Pozostałość po prażeniu max. 0,01 %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Chlorki (Cl) max. 0,001%</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Siarczany (SO4) max. 0,002%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Metale ciężkie (j. Pb) max. 0,0002%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Bar (Ba) max. 0,002%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Wapń (Ca) max. 0,002%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Żelazo (Fe) max. 0,0002%</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chem*117720907*1kg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Tri-Sodu cytrynian 2. Hydrat CZDA 500g</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Wygląd zewnętrzny białe lub bezbarwne, przezroczyste kryształy</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Zawartość min. 99,0 %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Substancje nierozpuszczalne w wodzie max. 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pH (5%, 20°C) 7,0-9,0</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Chlorki (Cl) max. 0,001%</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Fosforany (PO4) max. 0,002%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Siarczany (SO4) max. 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Sole amonowe (NH4) max. 0,001%</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Metale ciężkie (j. Pb)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Arsen (As) max. 0,0001%</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Cynk (Zn)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Kadm (Cd)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Miedź (Cu)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Ołów (Pb)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Wapń (Ca) max. 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Żelazo (Fe) max. 0,0005%</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chem*117957800*500g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4</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Triton X-100 250 ml</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Wygląd (kolor) bezbarwny do jasnożółtego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Wygląd (mętność) czysty do lekko zamglonego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lastRenderedPageBreak/>
              <w:t>Wygląd (postać) płyn</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Rozpuszczalność (kolor) bezbarwny do słabo żółtego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Rozpuszczalność (mętność) 0.1 mL/mL of H2O czysty do lekko zamglonego</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Lepkość Brookfielda 243 - 291 cps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Widmo podczerwieni jest zgodne ze strukturą</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 xml:space="preserve">Punkt mętny 63 - 69 °C 1% w wodzie </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lastRenderedPageBreak/>
              <w:t>chem*498418103*250ml</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Maltoza 1 hydrat CZDA, 1 kg</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Zawartość ~98%</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Skręcalność właściwa (20°C, 4%, H2O,NH3) +128÷ + 132°</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Straty po suszeniu  max. 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Pozostałość po prażeniu (j. SO4) max. 0,05 %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Chlorki (Cl) max. 0,005 %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Siarczany (SO4) max. 0,005 %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Arsen (As) max. 0,00005 %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Miedź (Cu) max. 0,001 %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Ołów (Pb) max. 0,0005 %</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Żelazo (Fe) max. 0,0005%</w:t>
            </w:r>
          </w:p>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Rozpuszczalność (10% roztwór wodny) wg przepisu</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chem*116153008*1kg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Alkohol etylowy - 96% czda, opak. 5l</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z w:val="18"/>
                <w:szCs w:val="18"/>
              </w:rPr>
            </w:pPr>
            <w:r w:rsidRPr="00B37177">
              <w:rPr>
                <w:rFonts w:asciiTheme="minorHAnsi" w:eastAsia="Times New Roman" w:hAnsiTheme="minorHAnsi" w:cstheme="minorHAnsi"/>
                <w:sz w:val="18"/>
                <w:szCs w:val="18"/>
              </w:rPr>
              <w:t>CHEM*113964200*5l</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spacing w:after="0" w:line="240" w:lineRule="auto"/>
              <w:jc w:val="center"/>
              <w:rPr>
                <w:rFonts w:asciiTheme="minorHAnsi" w:eastAsia="Times New Roman" w:hAnsiTheme="minorHAnsi" w:cstheme="minorHAnsi"/>
                <w:spacing w:val="-4"/>
                <w:sz w:val="18"/>
                <w:szCs w:val="18"/>
                <w:lang w:eastAsia="pl-PL"/>
              </w:rPr>
            </w:pPr>
            <w:r w:rsidRPr="00B37177">
              <w:rPr>
                <w:rFonts w:asciiTheme="minorHAnsi" w:eastAsia="Times New Roman" w:hAnsiTheme="minorHAnsi" w:cstheme="minorHAnsi"/>
                <w:spacing w:val="-4"/>
                <w:sz w:val="18"/>
                <w:szCs w:val="18"/>
                <w:lang w:eastAsia="pl-PL"/>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B37177"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B37177">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B37177" w:rsidRDefault="00B37177"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B37177">
              <w:rPr>
                <w:rFonts w:asciiTheme="minorHAnsi" w:eastAsia="Times New Roman" w:hAnsiTheme="minorHAnsi" w:cstheme="minorHAnsi"/>
                <w:sz w:val="18"/>
                <w:szCs w:val="20"/>
              </w:rPr>
              <w:t xml:space="preserve">Zgodne z numerem katalogowym firmy </w:t>
            </w:r>
            <w:r w:rsidRPr="00B37177">
              <w:rPr>
                <w:rFonts w:asciiTheme="minorHAnsi" w:eastAsia="Times New Roman" w:hAnsiTheme="minorHAnsi" w:cstheme="minorHAnsi"/>
                <w:sz w:val="18"/>
                <w:szCs w:val="20"/>
              </w:rPr>
              <w:lastRenderedPageBreak/>
              <w:t>Sigma-Aldrich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lastRenderedPageBreak/>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 xml:space="preserve">Nazwa, producent i nr katalogowy </w:t>
            </w:r>
            <w:r w:rsidRPr="002A54DE">
              <w:rPr>
                <w:rFonts w:asciiTheme="minorHAnsi" w:hAnsiTheme="minorHAnsi" w:cstheme="minorHAnsi"/>
                <w:bCs/>
                <w:sz w:val="20"/>
                <w:szCs w:val="20"/>
              </w:rPr>
              <w:lastRenderedPageBreak/>
              <w:t>oferowanego produktu</w:t>
            </w:r>
          </w:p>
        </w:tc>
      </w:tr>
      <w:tr w:rsidR="00C01EE0" w:rsidRPr="003670DE" w:rsidTr="00B37177">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EB3DB1" w:rsidRPr="003670DE" w:rsidTr="00B37177">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B37177" w:rsidRPr="0048696C" w:rsidRDefault="00B37177" w:rsidP="002315FA">
            <w:pPr>
              <w:pStyle w:val="Akapitzlist"/>
              <w:numPr>
                <w:ilvl w:val="0"/>
                <w:numId w:val="11"/>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Ekstrakt drożdżowy</w:t>
            </w:r>
          </w:p>
          <w:p w:rsidR="00B37177" w:rsidRPr="00B37177" w:rsidRDefault="00B37177" w:rsidP="00B37177">
            <w:pPr>
              <w:spacing w:after="0"/>
              <w:rPr>
                <w:rFonts w:asciiTheme="minorHAnsi" w:hAnsiTheme="minorHAnsi" w:cstheme="minorHAnsi"/>
                <w:sz w:val="18"/>
                <w:szCs w:val="18"/>
              </w:rPr>
            </w:pP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 xml:space="preserve">Wygląd (kolor) od jasnożółtego do ciemnożółtego i ciemnobrązowego </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Wygląd (postać) proszek</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 xml:space="preserve">Rozpuszczalność (kolor) od bardzo jasnożółtego do żółtego i brązowo-żółtego </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 xml:space="preserve">Rozpuszczalność (mętność) Przezroczystość  10 mg/mL, H2O </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Strata przy suszeniu &lt; 10 %</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 xml:space="preserve">Pozostałość po spalaniu (popiół)  12 - 16 % </w:t>
            </w:r>
          </w:p>
          <w:p w:rsidR="00B37177" w:rsidRPr="00B37177" w:rsidRDefault="00B37177" w:rsidP="00B37177">
            <w:pPr>
              <w:spacing w:after="0"/>
              <w:rPr>
                <w:rFonts w:asciiTheme="minorHAnsi" w:hAnsiTheme="minorHAnsi" w:cstheme="minorHAnsi"/>
                <w:sz w:val="18"/>
                <w:szCs w:val="18"/>
              </w:rPr>
            </w:pPr>
            <w:r w:rsidRPr="00B37177">
              <w:rPr>
                <w:rFonts w:asciiTheme="minorHAnsi" w:hAnsiTheme="minorHAnsi" w:cstheme="minorHAnsi"/>
                <w:sz w:val="18"/>
                <w:szCs w:val="18"/>
              </w:rPr>
              <w:t xml:space="preserve">Chlorek sodu &lt; 5 % </w:t>
            </w:r>
          </w:p>
          <w:p w:rsidR="00B37177" w:rsidRPr="00B37177" w:rsidRDefault="00B37177" w:rsidP="00B37177">
            <w:pPr>
              <w:spacing w:after="0" w:line="240" w:lineRule="auto"/>
              <w:rPr>
                <w:rFonts w:asciiTheme="minorHAnsi" w:hAnsiTheme="minorHAnsi" w:cstheme="minorHAnsi"/>
                <w:spacing w:val="-4"/>
                <w:sz w:val="18"/>
                <w:szCs w:val="18"/>
                <w:lang w:val="en-US"/>
              </w:rPr>
            </w:pPr>
            <w:r w:rsidRPr="00B37177">
              <w:rPr>
                <w:rFonts w:asciiTheme="minorHAnsi" w:hAnsiTheme="minorHAnsi" w:cstheme="minorHAnsi"/>
                <w:sz w:val="18"/>
                <w:szCs w:val="18"/>
              </w:rPr>
              <w:t>Azot  9 - 12 %</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Y1625-250G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EB3DB1"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1,2 – Dihydroxybenzene</w:t>
            </w:r>
          </w:p>
          <w:p w:rsidR="00B37177" w:rsidRPr="00B37177" w:rsidRDefault="00B37177" w:rsidP="00B37177">
            <w:pPr>
              <w:spacing w:after="0"/>
              <w:rPr>
                <w:rFonts w:asciiTheme="minorHAnsi" w:hAnsiTheme="minorHAnsi" w:cstheme="minorHAnsi"/>
                <w:bCs/>
                <w:sz w:val="18"/>
                <w:szCs w:val="18"/>
              </w:rPr>
            </w:pP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Stopień</w:t>
            </w:r>
            <w:r w:rsidRPr="00B37177">
              <w:rPr>
                <w:rFonts w:asciiTheme="minorHAnsi" w:hAnsiTheme="minorHAnsi" w:cstheme="minorHAnsi"/>
                <w:bCs/>
                <w:sz w:val="18"/>
                <w:szCs w:val="18"/>
              </w:rPr>
              <w:tab/>
            </w:r>
            <w:r>
              <w:rPr>
                <w:rFonts w:asciiTheme="minorHAnsi" w:hAnsiTheme="minorHAnsi" w:cstheme="minorHAnsi"/>
                <w:bCs/>
                <w:sz w:val="18"/>
                <w:szCs w:val="18"/>
              </w:rPr>
              <w:tab/>
            </w:r>
            <w:r w:rsidRPr="00B37177">
              <w:rPr>
                <w:rFonts w:asciiTheme="minorHAnsi" w:hAnsiTheme="minorHAnsi" w:cstheme="minorHAnsi"/>
                <w:bCs/>
                <w:sz w:val="18"/>
                <w:szCs w:val="18"/>
              </w:rPr>
              <w:t>ReagentPlus®</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Gęstość pary</w:t>
            </w:r>
            <w:r w:rsidRPr="00B37177">
              <w:rPr>
                <w:rFonts w:asciiTheme="minorHAnsi" w:hAnsiTheme="minorHAnsi" w:cstheme="minorHAnsi"/>
                <w:bCs/>
                <w:sz w:val="18"/>
                <w:szCs w:val="18"/>
              </w:rPr>
              <w:tab/>
              <w:t>3.8 (vs air)</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Ciśnienie pary</w:t>
            </w:r>
            <w:r w:rsidRPr="00B37177">
              <w:rPr>
                <w:rFonts w:asciiTheme="minorHAnsi" w:hAnsiTheme="minorHAnsi" w:cstheme="minorHAnsi"/>
                <w:bCs/>
                <w:sz w:val="18"/>
                <w:szCs w:val="18"/>
              </w:rPr>
              <w:tab/>
              <w:t>1 mmHg ( 75 °C)</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ab/>
            </w:r>
            <w:r w:rsidRPr="00B37177">
              <w:rPr>
                <w:rFonts w:asciiTheme="minorHAnsi" w:hAnsiTheme="minorHAnsi" w:cstheme="minorHAnsi"/>
                <w:bCs/>
                <w:sz w:val="18"/>
                <w:szCs w:val="18"/>
              </w:rPr>
              <w:tab/>
              <w:t>10 mmHg ( 118.3 °C)</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Analiza</w:t>
            </w:r>
            <w:r w:rsidRPr="00B37177">
              <w:rPr>
                <w:rFonts w:asciiTheme="minorHAnsi" w:hAnsiTheme="minorHAnsi" w:cstheme="minorHAnsi"/>
                <w:bCs/>
                <w:sz w:val="18"/>
                <w:szCs w:val="18"/>
              </w:rPr>
              <w:tab/>
            </w:r>
            <w:r w:rsidRPr="00B37177">
              <w:rPr>
                <w:rFonts w:asciiTheme="minorHAnsi" w:hAnsiTheme="minorHAnsi" w:cstheme="minorHAnsi"/>
                <w:bCs/>
                <w:sz w:val="18"/>
                <w:szCs w:val="18"/>
              </w:rPr>
              <w:tab/>
              <w:t>≥99%</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Bp</w:t>
            </w:r>
            <w:r w:rsidRPr="00B37177">
              <w:rPr>
                <w:rFonts w:asciiTheme="minorHAnsi" w:hAnsiTheme="minorHAnsi" w:cstheme="minorHAnsi"/>
                <w:bCs/>
                <w:sz w:val="18"/>
                <w:szCs w:val="18"/>
              </w:rPr>
              <w:tab/>
            </w:r>
            <w:r w:rsidRPr="00B37177">
              <w:rPr>
                <w:rFonts w:asciiTheme="minorHAnsi" w:hAnsiTheme="minorHAnsi" w:cstheme="minorHAnsi"/>
                <w:bCs/>
                <w:sz w:val="18"/>
                <w:szCs w:val="18"/>
              </w:rPr>
              <w:tab/>
              <w:t>245 °C(lit.)</w:t>
            </w:r>
          </w:p>
          <w:p w:rsidR="00B37177" w:rsidRPr="00B37177" w:rsidRDefault="00B37177" w:rsidP="00B37177">
            <w:pPr>
              <w:spacing w:after="0"/>
              <w:rPr>
                <w:rFonts w:asciiTheme="minorHAnsi" w:hAnsiTheme="minorHAnsi" w:cstheme="minorHAnsi"/>
                <w:bCs/>
                <w:sz w:val="18"/>
                <w:szCs w:val="18"/>
              </w:rPr>
            </w:pPr>
            <w:r w:rsidRPr="00B37177">
              <w:rPr>
                <w:rFonts w:asciiTheme="minorHAnsi" w:hAnsiTheme="minorHAnsi" w:cstheme="minorHAnsi"/>
                <w:bCs/>
                <w:sz w:val="18"/>
                <w:szCs w:val="18"/>
              </w:rPr>
              <w:t>Mp</w:t>
            </w:r>
            <w:r w:rsidRPr="00B37177">
              <w:rPr>
                <w:rFonts w:asciiTheme="minorHAnsi" w:hAnsiTheme="minorHAnsi" w:cstheme="minorHAnsi"/>
                <w:bCs/>
                <w:sz w:val="18"/>
                <w:szCs w:val="18"/>
              </w:rPr>
              <w:tab/>
            </w:r>
            <w:r w:rsidRPr="00B37177">
              <w:rPr>
                <w:rFonts w:asciiTheme="minorHAnsi" w:hAnsiTheme="minorHAnsi" w:cstheme="minorHAnsi"/>
                <w:bCs/>
                <w:sz w:val="18"/>
                <w:szCs w:val="18"/>
              </w:rPr>
              <w:tab/>
              <w:t>100-103 °C (lit.)</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135011-5G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eastAsia="Times New Roman" w:hAnsiTheme="minorHAnsi" w:cstheme="minorHAnsi"/>
                <w:bCs/>
                <w:sz w:val="18"/>
                <w:szCs w:val="18"/>
                <w:lang w:val="en-US" w:eastAsia="pl-PL"/>
              </w:rPr>
            </w:pPr>
            <w:r w:rsidRPr="00B37177">
              <w:rPr>
                <w:rFonts w:asciiTheme="minorHAnsi" w:eastAsia="Times New Roman" w:hAnsiTheme="minorHAnsi" w:cstheme="minorHAnsi"/>
                <w:bCs/>
                <w:sz w:val="18"/>
                <w:szCs w:val="18"/>
                <w:lang w:val="en-US" w:eastAsia="pl-PL"/>
              </w:rPr>
              <w:t>3,4-Dihydroxy-L-phenylalanine (syn. L-DOPA)</w:t>
            </w:r>
          </w:p>
          <w:p w:rsidR="00B37177" w:rsidRPr="00B37177" w:rsidRDefault="00B37177" w:rsidP="00B37177">
            <w:pPr>
              <w:spacing w:after="0"/>
              <w:rPr>
                <w:rFonts w:asciiTheme="minorHAnsi" w:eastAsia="Times New Roman" w:hAnsiTheme="minorHAnsi" w:cstheme="minorHAnsi"/>
                <w:bCs/>
                <w:sz w:val="18"/>
                <w:szCs w:val="18"/>
                <w:lang w:val="en-US" w:eastAsia="pl-PL"/>
              </w:rPr>
            </w:pPr>
          </w:p>
          <w:p w:rsidR="00B37177" w:rsidRPr="00B37177" w:rsidRDefault="00B37177" w:rsidP="00B37177">
            <w:pPr>
              <w:spacing w:after="0"/>
              <w:rPr>
                <w:rFonts w:asciiTheme="minorHAnsi" w:eastAsia="Times New Roman" w:hAnsiTheme="minorHAnsi" w:cstheme="minorHAnsi"/>
                <w:bCs/>
                <w:sz w:val="18"/>
                <w:szCs w:val="18"/>
                <w:lang w:val="en-US" w:eastAsia="pl-PL"/>
              </w:rPr>
            </w:pPr>
            <w:r w:rsidRPr="00B37177">
              <w:rPr>
                <w:rFonts w:asciiTheme="minorHAnsi" w:eastAsia="Times New Roman" w:hAnsiTheme="minorHAnsi" w:cstheme="minorHAnsi"/>
                <w:bCs/>
                <w:sz w:val="18"/>
                <w:szCs w:val="18"/>
                <w:lang w:val="en-US" w:eastAsia="pl-PL"/>
              </w:rPr>
              <w:t>Analiza</w:t>
            </w:r>
            <w:r w:rsidRPr="00B37177">
              <w:rPr>
                <w:rFonts w:asciiTheme="minorHAnsi" w:eastAsia="Times New Roman" w:hAnsiTheme="minorHAnsi" w:cstheme="minorHAnsi"/>
                <w:bCs/>
                <w:sz w:val="18"/>
                <w:szCs w:val="18"/>
                <w:lang w:val="en-US" w:eastAsia="pl-PL"/>
              </w:rPr>
              <w:tab/>
              <w:t>≥98% (TLC)</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eastAsia="Times New Roman" w:hAnsiTheme="minorHAnsi" w:cstheme="minorHAnsi"/>
                <w:bCs/>
                <w:sz w:val="18"/>
                <w:szCs w:val="18"/>
                <w:lang w:val="en-US" w:eastAsia="pl-PL"/>
              </w:rPr>
              <w:t>Mp</w:t>
            </w:r>
            <w:r w:rsidRPr="00B37177">
              <w:rPr>
                <w:rFonts w:asciiTheme="minorHAnsi" w:eastAsia="Times New Roman" w:hAnsiTheme="minorHAnsi" w:cstheme="minorHAnsi"/>
                <w:bCs/>
                <w:sz w:val="18"/>
                <w:szCs w:val="18"/>
                <w:lang w:val="en-US" w:eastAsia="pl-PL"/>
              </w:rPr>
              <w:tab/>
              <w:t>276-278 °C (lit.)</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D9628-5G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4-Nitrophenyl ẞ-D-glucopyranoside</w:t>
            </w:r>
          </w:p>
          <w:p w:rsidR="00B37177" w:rsidRPr="00B37177" w:rsidRDefault="00B37177" w:rsidP="00B37177">
            <w:pPr>
              <w:spacing w:after="0"/>
              <w:rPr>
                <w:rFonts w:asciiTheme="minorHAnsi" w:hAnsiTheme="minorHAnsi" w:cstheme="minorHAnsi"/>
                <w:bCs/>
                <w:sz w:val="18"/>
                <w:szCs w:val="18"/>
                <w:lang w:val="en-US"/>
              </w:rPr>
            </w:pP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Poziom jakości </w:t>
            </w:r>
            <w:r w:rsidRPr="00B37177">
              <w:rPr>
                <w:rFonts w:asciiTheme="minorHAnsi" w:hAnsiTheme="minorHAnsi" w:cstheme="minorHAnsi"/>
                <w:bCs/>
                <w:sz w:val="18"/>
                <w:szCs w:val="18"/>
                <w:lang w:val="en-US"/>
              </w:rPr>
              <w:tab/>
              <w:t>PREMIUM</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Analiza</w:t>
            </w:r>
            <w:r w:rsidRPr="00B37177">
              <w:rPr>
                <w:rFonts w:asciiTheme="minorHAnsi" w:hAnsiTheme="minorHAnsi" w:cstheme="minorHAnsi"/>
                <w:bCs/>
                <w:sz w:val="18"/>
                <w:szCs w:val="18"/>
                <w:lang w:val="en-US"/>
              </w:rPr>
              <w:tab/>
            </w:r>
            <w:r w:rsidRPr="00B37177">
              <w:rPr>
                <w:rFonts w:asciiTheme="minorHAnsi" w:hAnsiTheme="minorHAnsi" w:cstheme="minorHAnsi"/>
                <w:bCs/>
                <w:sz w:val="18"/>
                <w:szCs w:val="18"/>
                <w:lang w:val="en-US"/>
              </w:rPr>
              <w:tab/>
              <w:t>≥98% (TLC)</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Temperatura przechowywania  −20°C</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N7006-1G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Sodium carboxymethyl cellulose</w:t>
            </w:r>
          </w:p>
          <w:p w:rsidR="00B37177" w:rsidRPr="00B37177" w:rsidRDefault="00B37177" w:rsidP="00B37177">
            <w:pPr>
              <w:spacing w:after="0"/>
              <w:rPr>
                <w:rFonts w:asciiTheme="minorHAnsi" w:hAnsiTheme="minorHAnsi" w:cstheme="minorHAnsi"/>
                <w:bCs/>
                <w:sz w:val="18"/>
                <w:szCs w:val="18"/>
                <w:lang w:val="en-US"/>
              </w:rPr>
            </w:pP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Temperatura samozapłonu </w:t>
            </w:r>
            <w:r w:rsidRPr="00B37177">
              <w:rPr>
                <w:rFonts w:asciiTheme="minorHAnsi" w:hAnsiTheme="minorHAnsi" w:cstheme="minorHAnsi"/>
                <w:bCs/>
                <w:sz w:val="18"/>
                <w:szCs w:val="18"/>
                <w:lang w:val="en-US"/>
              </w:rPr>
              <w:tab/>
              <w:t>698 °F</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Mol wt  </w:t>
            </w:r>
            <w:r w:rsidRPr="00B37177">
              <w:rPr>
                <w:rFonts w:asciiTheme="minorHAnsi" w:hAnsiTheme="minorHAnsi" w:cstheme="minorHAnsi"/>
                <w:bCs/>
                <w:sz w:val="18"/>
                <w:szCs w:val="18"/>
                <w:lang w:val="en-US"/>
              </w:rPr>
              <w:tab/>
              <w:t>average Mw ~90,000</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Mp  </w:t>
            </w:r>
            <w:r w:rsidRPr="00B37177">
              <w:rPr>
                <w:rFonts w:asciiTheme="minorHAnsi" w:hAnsiTheme="minorHAnsi" w:cstheme="minorHAnsi"/>
                <w:bCs/>
                <w:sz w:val="18"/>
                <w:szCs w:val="18"/>
                <w:lang w:val="en-US"/>
              </w:rPr>
              <w:tab/>
              <w:t>274 °C (dec.)</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lastRenderedPageBreak/>
              <w:t>419273-100G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Kwas 3,5- Dinitrosalicylowy</w:t>
            </w:r>
          </w:p>
          <w:p w:rsidR="00B37177" w:rsidRPr="00B37177" w:rsidRDefault="00B37177" w:rsidP="00B37177">
            <w:pPr>
              <w:spacing w:after="0"/>
              <w:rPr>
                <w:rFonts w:asciiTheme="minorHAnsi" w:hAnsiTheme="minorHAnsi" w:cstheme="minorHAnsi"/>
                <w:bCs/>
                <w:sz w:val="18"/>
                <w:szCs w:val="18"/>
                <w:lang w:val="en-US"/>
              </w:rPr>
            </w:pP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Wygląd (kolor) biały do żółtego</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Wygląd (postać) proszek</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Widmo podczerwieni jest zgodne ze strukturą</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Czystość (miareczkowanie NAOH) 97.5 - 102.5 % </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Czystość (HPLC) &gt; 97.5 % </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 xml:space="preserve">Rozpuszczalność (mętność) czysty do zamglonego (50mg/ml, H2O) </w:t>
            </w:r>
          </w:p>
          <w:p w:rsidR="00B37177" w:rsidRPr="00B37177" w:rsidRDefault="00B37177" w:rsidP="00B37177">
            <w:pPr>
              <w:spacing w:after="0"/>
              <w:rPr>
                <w:rFonts w:asciiTheme="minorHAnsi" w:hAnsiTheme="minorHAnsi" w:cstheme="minorHAnsi"/>
                <w:bCs/>
                <w:sz w:val="18"/>
                <w:szCs w:val="18"/>
                <w:lang w:val="en-US"/>
              </w:rPr>
            </w:pPr>
            <w:r w:rsidRPr="00B37177">
              <w:rPr>
                <w:rFonts w:asciiTheme="minorHAnsi" w:hAnsiTheme="minorHAnsi" w:cstheme="minorHAnsi"/>
                <w:bCs/>
                <w:sz w:val="18"/>
                <w:szCs w:val="18"/>
                <w:lang w:val="en-US"/>
              </w:rPr>
              <w:t>Rozpuszczalność (kolor) od żółtego do bardzo ciemnożółtego</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128848-5G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Agar</w:t>
            </w:r>
          </w:p>
          <w:p w:rsidR="00B37177" w:rsidRPr="00B37177" w:rsidRDefault="00B37177" w:rsidP="00B37177">
            <w:pPr>
              <w:spacing w:after="0"/>
              <w:rPr>
                <w:rFonts w:asciiTheme="minorHAnsi" w:hAnsiTheme="minorHAnsi" w:cstheme="minorHAnsi"/>
                <w:spacing w:val="-4"/>
                <w:sz w:val="18"/>
                <w:szCs w:val="18"/>
                <w:lang w:val="en-US"/>
              </w:rPr>
            </w:pP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 xml:space="preserve">Wygląd (kolor) jasnożółty do beżowego </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Wygląd (postać) proszek</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Pozostałość po spalaniu (popiół) 2.0 - 4.5 %</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 xml:space="preserve">Strata przy suszeniu &lt; 20 % </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 xml:space="preserve">Temperatura krzepnięcia (1.5% w H2O)  &lt; 38 °C </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pH (1.5% w  H2O w temp. pokojowej)  6.0 - 8.0</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A1296-1kg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rPr>
            </w:pPr>
            <w:r w:rsidRPr="00B37177">
              <w:rPr>
                <w:rFonts w:asciiTheme="minorHAnsi"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B37177" w:rsidRPr="003670DE" w:rsidTr="00B37177">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B37177" w:rsidRPr="0048696C" w:rsidRDefault="00B37177" w:rsidP="002315FA">
            <w:pPr>
              <w:pStyle w:val="Akapitzlist"/>
              <w:numPr>
                <w:ilvl w:val="0"/>
                <w:numId w:val="1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4-Nitrophenyl phosphate</w:t>
            </w:r>
          </w:p>
          <w:p w:rsidR="00B37177" w:rsidRPr="00B37177" w:rsidRDefault="00B37177" w:rsidP="00B37177">
            <w:pPr>
              <w:spacing w:after="0"/>
              <w:rPr>
                <w:rFonts w:asciiTheme="minorHAnsi" w:hAnsiTheme="minorHAnsi" w:cstheme="minorHAnsi"/>
                <w:spacing w:val="-4"/>
                <w:sz w:val="18"/>
                <w:szCs w:val="18"/>
              </w:rPr>
            </w:pP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Wygląd (kolor) biały do nieznacznie żółtego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Wygląd (postać) proszek</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Rozpuszczalność (mętność) (100 mg/ml w wodzie) jasny do lekko zamglonego</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Rozpuszczalność (kolor) od jasnożółtego do jasnożółtozielonego (100 mg/ml w wodzie)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Rozpuszczalność (postać) roztwór (100 mg/ml w wodzie)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Absorbancja UV 410nm &lt; 0.030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lastRenderedPageBreak/>
              <w:t>Nadaje się do stosowania, jako substrat do testów alkalicznej fosfatazy</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Woda  28.2 - 30.0 %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Sód (Na) 11.7 - 13.0 % (ICP-Atomic Emission)</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Fosfor (P) 8.0 - 8.6 %( ICP-Atomic Emission)</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Fosfor nieorganiczny &lt; 0.1 % </w:t>
            </w:r>
          </w:p>
          <w:p w:rsidR="00B37177" w:rsidRPr="00B37177" w:rsidRDefault="00B37177" w:rsidP="00B37177">
            <w:pPr>
              <w:spacing w:after="0"/>
              <w:rPr>
                <w:rFonts w:asciiTheme="minorHAnsi" w:hAnsiTheme="minorHAnsi" w:cstheme="minorHAnsi"/>
                <w:spacing w:val="-4"/>
                <w:sz w:val="18"/>
                <w:szCs w:val="18"/>
              </w:rPr>
            </w:pPr>
            <w:r w:rsidRPr="00B37177">
              <w:rPr>
                <w:rFonts w:asciiTheme="minorHAnsi" w:hAnsiTheme="minorHAnsi" w:cstheme="minorHAnsi"/>
                <w:spacing w:val="-4"/>
                <w:sz w:val="18"/>
                <w:szCs w:val="18"/>
              </w:rPr>
              <w:t xml:space="preserve">Czystość (HPLC) &gt; 97 % </w:t>
            </w:r>
          </w:p>
          <w:p w:rsidR="00B37177" w:rsidRPr="00B37177" w:rsidRDefault="00B37177" w:rsidP="00B37177">
            <w:pPr>
              <w:spacing w:after="0"/>
              <w:rPr>
                <w:rFonts w:asciiTheme="minorHAnsi" w:hAnsiTheme="minorHAnsi" w:cstheme="minorHAnsi"/>
                <w:spacing w:val="-4"/>
                <w:sz w:val="18"/>
                <w:szCs w:val="18"/>
                <w:lang w:val="en-US"/>
              </w:rPr>
            </w:pPr>
            <w:r w:rsidRPr="00B37177">
              <w:rPr>
                <w:rFonts w:asciiTheme="minorHAnsi" w:hAnsiTheme="minorHAnsi" w:cstheme="minorHAnsi"/>
                <w:spacing w:val="-4"/>
                <w:sz w:val="18"/>
                <w:szCs w:val="18"/>
              </w:rPr>
              <w:t xml:space="preserve">Wolny P-Nitrophenol &lt; 0.100 %  </w:t>
            </w:r>
          </w:p>
        </w:tc>
        <w:tc>
          <w:tcPr>
            <w:tcW w:w="1558" w:type="dxa"/>
            <w:tcBorders>
              <w:top w:val="single" w:sz="4" w:space="0" w:color="auto"/>
              <w:left w:val="nil"/>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lastRenderedPageBreak/>
              <w:t>P4744-1G</w:t>
            </w:r>
          </w:p>
        </w:tc>
        <w:tc>
          <w:tcPr>
            <w:tcW w:w="567" w:type="dxa"/>
            <w:tcBorders>
              <w:top w:val="single" w:sz="4" w:space="0" w:color="auto"/>
              <w:left w:val="single" w:sz="4" w:space="0" w:color="auto"/>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z w:val="18"/>
                <w:szCs w:val="18"/>
                <w:lang w:val="en-US"/>
              </w:rPr>
            </w:pPr>
            <w:r w:rsidRPr="00B37177">
              <w:rPr>
                <w:rFonts w:asciiTheme="minorHAnsi" w:hAnsiTheme="minorHAnsi" w:cstheme="minorHAnsi"/>
                <w:sz w:val="18"/>
                <w:szCs w:val="18"/>
                <w:lang w:val="en-US"/>
              </w:rPr>
              <w:t>op.</w:t>
            </w:r>
          </w:p>
        </w:tc>
        <w:tc>
          <w:tcPr>
            <w:tcW w:w="569" w:type="dxa"/>
            <w:tcBorders>
              <w:top w:val="single" w:sz="4" w:space="0" w:color="auto"/>
              <w:left w:val="nil"/>
              <w:bottom w:val="single" w:sz="4" w:space="0" w:color="auto"/>
              <w:right w:val="single" w:sz="4" w:space="0" w:color="auto"/>
            </w:tcBorders>
            <w:noWrap/>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3</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B37177" w:rsidRDefault="00B37177" w:rsidP="00B37177">
            <w:pPr>
              <w:jc w:val="center"/>
              <w:rPr>
                <w:rFonts w:asciiTheme="minorHAnsi" w:hAnsiTheme="minorHAnsi" w:cstheme="minorHAnsi"/>
                <w:spacing w:val="-4"/>
                <w:sz w:val="18"/>
                <w:szCs w:val="18"/>
                <w:lang w:val="en-US"/>
              </w:rPr>
            </w:pPr>
            <w:r w:rsidRPr="00B37177">
              <w:rPr>
                <w:rFonts w:asciiTheme="minorHAnsi" w:hAnsiTheme="minorHAnsi" w:cstheme="minorHAnsi"/>
                <w:spacing w:val="-4"/>
                <w:sz w:val="18"/>
                <w:szCs w:val="18"/>
                <w:lang w:val="en-US"/>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B37177" w:rsidRPr="007C77ED" w:rsidRDefault="00B37177" w:rsidP="00B37177">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B37177" w:rsidRPr="002A54DE" w:rsidRDefault="00B37177" w:rsidP="00B37177">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12</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B37177" w:rsidRDefault="00B37177"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B37177">
              <w:rPr>
                <w:rFonts w:asciiTheme="minorHAnsi" w:eastAsia="Times New Roman" w:hAnsiTheme="minorHAnsi" w:cstheme="minorHAnsi"/>
                <w:sz w:val="18"/>
                <w:szCs w:val="20"/>
              </w:rPr>
              <w:t>Zgodne z numerem katalogowym firmy Th. Geyer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B37177">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2"/>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Pudełka do przechowywania szkiełek mikroskopowych na 100 sztuk. Środek kasetki plastikowy, obicie zewnętrzne matowe czarne, kasetka posiada metalowe zamknięcie, rozmiar szkiełek 76x26mm, wymiary kasetki 270x190x35</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jc w:val="center"/>
              <w:rPr>
                <w:rFonts w:asciiTheme="minorHAnsi" w:hAnsiTheme="minorHAnsi" w:cstheme="minorHAnsi"/>
                <w:sz w:val="18"/>
                <w:szCs w:val="20"/>
              </w:rPr>
            </w:pPr>
            <w:r w:rsidRPr="00057D9E">
              <w:rPr>
                <w:rFonts w:asciiTheme="minorHAnsi" w:hAnsiTheme="minorHAnsi" w:cstheme="minorHAnsi"/>
                <w:sz w:val="18"/>
                <w:szCs w:val="20"/>
              </w:rPr>
              <w:t>LLG 9161210</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jc w:val="center"/>
              <w:rPr>
                <w:rFonts w:asciiTheme="minorHAnsi" w:hAnsiTheme="minorHAnsi" w:cstheme="minorHAnsi"/>
                <w:sz w:val="18"/>
                <w:szCs w:val="20"/>
              </w:rPr>
            </w:pPr>
            <w:r w:rsidRPr="00057D9E">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jc w:val="center"/>
              <w:rPr>
                <w:rFonts w:asciiTheme="minorHAnsi" w:hAnsiTheme="minorHAnsi" w:cstheme="minorHAnsi"/>
                <w:sz w:val="18"/>
                <w:szCs w:val="20"/>
              </w:rPr>
            </w:pPr>
            <w:r w:rsidRPr="00057D9E">
              <w:rPr>
                <w:rFonts w:asciiTheme="minorHAnsi" w:hAnsiTheme="minorHAnsi" w:cstheme="minorHAnsi"/>
                <w:sz w:val="18"/>
                <w:szCs w:val="20"/>
              </w:rPr>
              <w:t>15</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jc w:val="center"/>
              <w:rPr>
                <w:rFonts w:asciiTheme="minorHAnsi" w:hAnsiTheme="minorHAnsi" w:cstheme="minorHAnsi"/>
                <w:sz w:val="18"/>
                <w:szCs w:val="20"/>
              </w:rPr>
            </w:pPr>
            <w:r w:rsidRPr="00057D9E">
              <w:rPr>
                <w:rFonts w:asciiTheme="minorHAnsi"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lastRenderedPageBreak/>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13</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Zgodne z numerem katalogowym firmy Argenta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Płytki Petriego 90mm, wys. 14,2mm, aseptyczne, 3 żebra wentylacyjne, op. 600 szt. (25szt. w rękawie)</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BP903S25SQ</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Zgodne z numerem katalogowym firmy Medlab Products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4"/>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Pudełko z tworzywa na 100 szt. preparatów mikroskopowych, z ABS</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40-7100-4</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15</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Zgodne z numerem katalogowym firmy POL-AURA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5"/>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bCs/>
                <w:sz w:val="18"/>
                <w:szCs w:val="20"/>
                <w:lang w:val="en-GB"/>
              </w:rPr>
              <w:t>Kwas szczawiowy 2 hydrat 99% CZDA; 100g</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chem*115758600*100g</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bCs/>
                <w:sz w:val="18"/>
                <w:szCs w:val="20"/>
              </w:rPr>
              <w:t>Formaldehyd 36-38%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PA-06-432173111-1L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bCs/>
                <w:sz w:val="18"/>
                <w:szCs w:val="20"/>
              </w:rPr>
            </w:pPr>
            <w:r w:rsidRPr="00057D9E">
              <w:rPr>
                <w:rFonts w:asciiTheme="minorHAnsi" w:eastAsia="Times New Roman" w:hAnsiTheme="minorHAnsi" w:cstheme="minorHAnsi"/>
                <w:sz w:val="18"/>
                <w:szCs w:val="20"/>
              </w:rPr>
              <w:t>Kwas solny 35-38%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chem*115752837*1L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bCs/>
                <w:sz w:val="18"/>
                <w:szCs w:val="20"/>
              </w:rPr>
            </w:pPr>
            <w:r w:rsidRPr="00057D9E">
              <w:rPr>
                <w:rFonts w:asciiTheme="minorHAnsi" w:eastAsia="Times New Roman" w:hAnsiTheme="minorHAnsi" w:cstheme="minorHAnsi"/>
                <w:sz w:val="18"/>
                <w:szCs w:val="20"/>
              </w:rPr>
              <w:t>Gliceryna bezwodna CZDA; 1l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chem*114433204*1l</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lang w:val="en-US"/>
              </w:rPr>
            </w:pPr>
            <w:r w:rsidRPr="00057D9E">
              <w:rPr>
                <w:rFonts w:asciiTheme="minorHAnsi" w:eastAsia="Times New Roman" w:hAnsiTheme="minorHAnsi" w:cstheme="minorHAnsi"/>
                <w:sz w:val="18"/>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16</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 xml:space="preserve">Zgodne z numerem katalogowym firmy </w:t>
            </w:r>
            <w:r w:rsidRPr="00057D9E">
              <w:rPr>
                <w:rFonts w:asciiTheme="minorHAnsi" w:eastAsia="Times New Roman" w:hAnsiTheme="minorHAnsi" w:cstheme="minorHAnsi"/>
                <w:sz w:val="18"/>
                <w:szCs w:val="20"/>
              </w:rPr>
              <w:lastRenderedPageBreak/>
              <w:t>BIOMAXIMA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lastRenderedPageBreak/>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 xml:space="preserve">Nazwa, producent i nr katalogowy </w:t>
            </w:r>
            <w:r w:rsidRPr="002A54DE">
              <w:rPr>
                <w:rFonts w:asciiTheme="minorHAnsi" w:hAnsiTheme="minorHAnsi" w:cstheme="minorHAnsi"/>
                <w:bCs/>
                <w:sz w:val="20"/>
                <w:szCs w:val="20"/>
              </w:rPr>
              <w:lastRenderedPageBreak/>
              <w:t>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057D9E" w:rsidRPr="003670DE" w:rsidTr="00057D9E">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Azide Blood Agar – 5% KB Gotowe podłoże rozlane na płytce 90mm</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01130/P</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44"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6"/>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Mannitol Salt LAB-AGAR (Chapman)</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PS 13-500</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szt.</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z w:val="18"/>
                <w:szCs w:val="20"/>
              </w:rPr>
            </w:pPr>
            <w:r w:rsidRPr="00057D9E">
              <w:rPr>
                <w:rFonts w:asciiTheme="minorHAnsi" w:eastAsia="Times New Roman" w:hAnsiTheme="minorHAnsi" w:cstheme="minorHAnsi"/>
                <w:sz w:val="18"/>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EB3DB1">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18"/>
              </w:rPr>
              <w:t>Zgodne z numerem katalogowym firmy Bio-Rad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EB3DB1" w:rsidRPr="003670DE" w:rsidTr="00057D9E">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hideMark/>
          </w:tcPr>
          <w:p w:rsidR="00057D9E" w:rsidRPr="00057D9E" w:rsidRDefault="00057D9E" w:rsidP="00057D9E">
            <w:pPr>
              <w:spacing w:after="0" w:line="240" w:lineRule="auto"/>
              <w:rPr>
                <w:rFonts w:asciiTheme="minorHAnsi" w:hAnsiTheme="minorHAnsi" w:cstheme="minorHAnsi"/>
                <w:sz w:val="18"/>
                <w:szCs w:val="18"/>
                <w:lang w:eastAsia="pl-PL"/>
              </w:rPr>
            </w:pPr>
            <w:r w:rsidRPr="00057D9E">
              <w:rPr>
                <w:rFonts w:asciiTheme="minorHAnsi" w:hAnsiTheme="minorHAnsi" w:cstheme="minorHAnsi"/>
                <w:sz w:val="18"/>
                <w:szCs w:val="18"/>
              </w:rPr>
              <w:t>SsoAdvanced™ Universal SYBR® Green Supermix, 1,000 x 20 µl rxns, 10 ml (10 x 1 ml)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1725272</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18"/>
                <w:lang w:eastAsia="pl-PL"/>
              </w:rPr>
            </w:pPr>
            <w:r w:rsidRPr="00057D9E">
              <w:rPr>
                <w:rFonts w:asciiTheme="minorHAnsi" w:eastAsia="Times New Roman" w:hAnsiTheme="minorHAnsi" w:cstheme="minorHAnsi"/>
                <w:spacing w:val="-4"/>
                <w:sz w:val="18"/>
                <w:szCs w:val="18"/>
                <w:lang w:eastAsia="pl-PL"/>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EB3DB1" w:rsidRPr="003670DE" w:rsidTr="00057D9E">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57D9E" w:rsidRPr="00057D9E" w:rsidRDefault="00057D9E" w:rsidP="00057D9E">
            <w:pPr>
              <w:spacing w:after="0" w:line="240" w:lineRule="auto"/>
              <w:rPr>
                <w:rFonts w:asciiTheme="minorHAnsi" w:hAnsiTheme="minorHAnsi" w:cstheme="minorHAnsi"/>
                <w:sz w:val="18"/>
                <w:szCs w:val="18"/>
                <w:lang w:eastAsia="pl-PL"/>
              </w:rPr>
            </w:pPr>
            <w:r w:rsidRPr="00057D9E">
              <w:rPr>
                <w:rFonts w:asciiTheme="minorHAnsi" w:hAnsiTheme="minorHAnsi" w:cstheme="minorHAnsi"/>
                <w:sz w:val="18"/>
                <w:szCs w:val="18"/>
              </w:rPr>
              <w:t>iScript™ Reverse Transcription Supermix, 100 x 20 µl rxns, 400 µl</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1708841</w:t>
            </w: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18"/>
              </w:rPr>
            </w:pPr>
            <w:r w:rsidRPr="00057D9E">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18"/>
                <w:lang w:eastAsia="pl-PL"/>
              </w:rPr>
            </w:pPr>
            <w:r w:rsidRPr="00057D9E">
              <w:rPr>
                <w:rFonts w:asciiTheme="minorHAnsi" w:eastAsia="Times New Roman" w:hAnsiTheme="minorHAnsi" w:cstheme="minorHAnsi"/>
                <w:spacing w:val="-4"/>
                <w:sz w:val="18"/>
                <w:szCs w:val="18"/>
                <w:lang w:eastAsia="pl-PL"/>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lastRenderedPageBreak/>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18</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057D9E" w:rsidP="00D337C5">
            <w:pPr>
              <w:tabs>
                <w:tab w:val="right" w:pos="14580"/>
              </w:tabs>
              <w:spacing w:after="0" w:line="240" w:lineRule="auto"/>
              <w:jc w:val="center"/>
              <w:rPr>
                <w:rFonts w:asciiTheme="minorHAnsi" w:eastAsia="Times New Roman" w:hAnsiTheme="minorHAnsi" w:cstheme="minorHAnsi"/>
                <w:sz w:val="18"/>
                <w:szCs w:val="18"/>
                <w:lang w:eastAsia="pl-PL"/>
              </w:rPr>
            </w:pPr>
            <w:r w:rsidRPr="00057D9E">
              <w:rPr>
                <w:rFonts w:asciiTheme="minorHAnsi" w:eastAsia="Times New Roman" w:hAnsiTheme="minorHAnsi" w:cstheme="minorHAnsi"/>
                <w:sz w:val="18"/>
                <w:szCs w:val="20"/>
              </w:rPr>
              <w:t>Numer katalogowy</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D337C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D337C5">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D337C5">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D337C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D337C5">
            <w:pPr>
              <w:spacing w:after="0" w:line="240" w:lineRule="auto"/>
              <w:rPr>
                <w:rFonts w:asciiTheme="minorHAnsi" w:eastAsia="Times New Roman" w:hAnsiTheme="minorHAnsi" w:cstheme="minorHAnsi"/>
                <w:bCs/>
                <w:sz w:val="20"/>
                <w:szCs w:val="20"/>
                <w:lang w:eastAsia="pl-PL"/>
              </w:rPr>
            </w:pPr>
          </w:p>
        </w:tc>
      </w:tr>
      <w:tr w:rsidR="00EB3DB1" w:rsidRPr="003670DE" w:rsidTr="00057D9E">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57D9E" w:rsidRPr="0048696C" w:rsidRDefault="00057D9E" w:rsidP="002315FA">
            <w:pPr>
              <w:pStyle w:val="Akapitzlist"/>
              <w:numPr>
                <w:ilvl w:val="0"/>
                <w:numId w:val="1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hideMark/>
          </w:tcPr>
          <w:p w:rsidR="00057D9E" w:rsidRPr="00057D9E" w:rsidRDefault="00057D9E" w:rsidP="00057D9E">
            <w:pPr>
              <w:spacing w:after="0" w:line="240" w:lineRule="auto"/>
              <w:rPr>
                <w:rFonts w:asciiTheme="minorHAnsi" w:hAnsiTheme="minorHAnsi" w:cstheme="minorHAnsi"/>
                <w:sz w:val="18"/>
                <w:szCs w:val="20"/>
                <w:lang w:eastAsia="pl-PL"/>
              </w:rPr>
            </w:pPr>
            <w:r w:rsidRPr="00057D9E">
              <w:rPr>
                <w:rFonts w:asciiTheme="minorHAnsi" w:hAnsiTheme="minorHAnsi" w:cstheme="minorHAnsi"/>
                <w:sz w:val="18"/>
                <w:szCs w:val="20"/>
                <w:lang w:eastAsia="pl-PL"/>
              </w:rPr>
              <w:t>Rękawice diagnostyczne nitrylowe Nitrylex collagen rozmiar XS, 100 szt. w opakowaniu</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opak.</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EB3DB1" w:rsidRPr="003670DE" w:rsidTr="00057D9E">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57D9E" w:rsidRPr="00057D9E" w:rsidRDefault="00057D9E" w:rsidP="00057D9E">
            <w:pPr>
              <w:spacing w:after="0" w:line="240" w:lineRule="auto"/>
              <w:rPr>
                <w:rFonts w:asciiTheme="minorHAnsi" w:hAnsiTheme="minorHAnsi" w:cstheme="minorHAnsi"/>
                <w:sz w:val="18"/>
                <w:szCs w:val="20"/>
                <w:lang w:eastAsia="pl-PL"/>
              </w:rPr>
            </w:pPr>
            <w:r w:rsidRPr="00057D9E">
              <w:rPr>
                <w:rFonts w:asciiTheme="minorHAnsi" w:hAnsiTheme="minorHAnsi" w:cstheme="minorHAnsi"/>
                <w:sz w:val="18"/>
                <w:szCs w:val="20"/>
                <w:lang w:eastAsia="pl-PL"/>
              </w:rPr>
              <w:t>Rękawice diagnostyczne nitrylowe Nitrylex collagen rozmiar S, 100 szt. w opakowaniu</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opak.</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57D9E" w:rsidRPr="00057D9E" w:rsidRDefault="00057D9E" w:rsidP="00057D9E">
            <w:pPr>
              <w:pStyle w:val="Nagwek1"/>
              <w:spacing w:before="0" w:beforeAutospacing="0" w:after="0" w:afterAutospacing="0"/>
              <w:rPr>
                <w:rFonts w:asciiTheme="minorHAnsi" w:hAnsiTheme="minorHAnsi" w:cstheme="minorHAnsi"/>
                <w:b w:val="0"/>
                <w:sz w:val="18"/>
                <w:szCs w:val="20"/>
              </w:rPr>
            </w:pPr>
            <w:r w:rsidRPr="00057D9E">
              <w:rPr>
                <w:rFonts w:asciiTheme="minorHAnsi" w:hAnsiTheme="minorHAnsi" w:cstheme="minorHAnsi"/>
                <w:b w:val="0"/>
                <w:sz w:val="18"/>
                <w:szCs w:val="20"/>
              </w:rPr>
              <w:t>Rękawice lateksowe DERMAGEL® COATED białe bezpudrowe z bezlateksową warstwą polimerową niejałowe rozmiar M, 100szt. w opakowaniu</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opak.</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057D9E" w:rsidRPr="003670DE" w:rsidTr="00057D9E">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057D9E" w:rsidRPr="0048696C" w:rsidRDefault="00057D9E" w:rsidP="002315FA">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57D9E" w:rsidRPr="00057D9E" w:rsidRDefault="00057D9E" w:rsidP="00057D9E">
            <w:pPr>
              <w:spacing w:after="0" w:line="240" w:lineRule="auto"/>
              <w:rPr>
                <w:rFonts w:asciiTheme="minorHAnsi" w:hAnsiTheme="minorHAnsi" w:cstheme="minorHAnsi"/>
                <w:sz w:val="18"/>
                <w:szCs w:val="20"/>
                <w:lang w:eastAsia="pl-PL"/>
              </w:rPr>
            </w:pPr>
            <w:r w:rsidRPr="00057D9E">
              <w:rPr>
                <w:rFonts w:asciiTheme="minorHAnsi" w:hAnsiTheme="minorHAnsi" w:cstheme="minorHAnsi"/>
                <w:spacing w:val="-4"/>
                <w:sz w:val="18"/>
                <w:szCs w:val="20"/>
              </w:rPr>
              <w:t xml:space="preserve">Chusteczki bezpyłowe Kimwipes </w:t>
            </w:r>
            <w:r w:rsidRPr="00057D9E">
              <w:rPr>
                <w:rFonts w:asciiTheme="minorHAnsi" w:hAnsiTheme="minorHAnsi" w:cstheme="minorHAnsi"/>
                <w:sz w:val="18"/>
                <w:szCs w:val="20"/>
              </w:rPr>
              <w:t>o wymiarach 114x216mm, opakowanie 280 sztuk</w:t>
            </w:r>
          </w:p>
        </w:tc>
        <w:tc>
          <w:tcPr>
            <w:tcW w:w="1558" w:type="dxa"/>
            <w:tcBorders>
              <w:top w:val="single" w:sz="4" w:space="0" w:color="auto"/>
              <w:left w:val="nil"/>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hAnsiTheme="minorHAnsi" w:cstheme="minorHAnsi"/>
                <w:sz w:val="18"/>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opak.</w:t>
            </w:r>
          </w:p>
        </w:tc>
        <w:tc>
          <w:tcPr>
            <w:tcW w:w="569" w:type="dxa"/>
            <w:tcBorders>
              <w:top w:val="single" w:sz="4" w:space="0" w:color="auto"/>
              <w:left w:val="nil"/>
              <w:bottom w:val="single" w:sz="4" w:space="0" w:color="auto"/>
              <w:right w:val="single" w:sz="4" w:space="0" w:color="auto"/>
            </w:tcBorders>
            <w:noWrap/>
            <w:vAlign w:val="center"/>
          </w:tcPr>
          <w:p w:rsidR="00057D9E" w:rsidRPr="00057D9E" w:rsidRDefault="00057D9E" w:rsidP="00057D9E">
            <w:pPr>
              <w:spacing w:after="0" w:line="240" w:lineRule="auto"/>
              <w:jc w:val="center"/>
              <w:rPr>
                <w:rFonts w:asciiTheme="minorHAnsi" w:hAnsiTheme="minorHAnsi" w:cstheme="minorHAnsi"/>
                <w:sz w:val="18"/>
                <w:szCs w:val="20"/>
              </w:rPr>
            </w:pPr>
            <w:r w:rsidRPr="00057D9E">
              <w:rPr>
                <w:rFonts w:asciiTheme="minorHAnsi" w:hAnsiTheme="minorHAnsi" w:cstheme="minorHAnsi"/>
                <w:sz w:val="18"/>
                <w:szCs w:val="20"/>
              </w:rPr>
              <w:t>10</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057D9E" w:rsidRDefault="00057D9E" w:rsidP="00057D9E">
            <w:pPr>
              <w:spacing w:after="0" w:line="240" w:lineRule="auto"/>
              <w:jc w:val="center"/>
              <w:rPr>
                <w:rFonts w:asciiTheme="minorHAnsi" w:eastAsia="Times New Roman" w:hAnsiTheme="minorHAnsi" w:cstheme="minorHAnsi"/>
                <w:spacing w:val="-4"/>
                <w:sz w:val="18"/>
                <w:szCs w:val="20"/>
                <w:lang w:eastAsia="pl-PL"/>
              </w:rPr>
            </w:pPr>
            <w:r w:rsidRPr="00057D9E">
              <w:rPr>
                <w:rFonts w:asciiTheme="minorHAnsi" w:eastAsia="Times New Roman" w:hAnsiTheme="minorHAnsi" w:cstheme="minorHAnsi"/>
                <w:spacing w:val="-4"/>
                <w:sz w:val="18"/>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57D9E" w:rsidRPr="007C77ED" w:rsidRDefault="00057D9E" w:rsidP="00057D9E">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57D9E" w:rsidRPr="002A54DE" w:rsidRDefault="00057D9E" w:rsidP="00057D9E">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D337C5">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Default="00C01EE0" w:rsidP="00C01EE0">
      <w:pPr>
        <w:spacing w:after="0"/>
        <w:jc w:val="right"/>
        <w:rPr>
          <w:rFonts w:ascii="Book Antiqua" w:hAnsi="Book Antiqua"/>
          <w:sz w:val="20"/>
          <w:szCs w:val="20"/>
        </w:rPr>
      </w:pPr>
    </w:p>
    <w:p w:rsidR="00C01EE0" w:rsidRDefault="00C01EE0" w:rsidP="00C01EE0">
      <w:pPr>
        <w:spacing w:after="0"/>
        <w:jc w:val="right"/>
        <w:rPr>
          <w:rFonts w:ascii="Book Antiqua" w:hAnsi="Book Antiqua"/>
          <w:sz w:val="20"/>
          <w:szCs w:val="20"/>
        </w:rPr>
      </w:pPr>
    </w:p>
    <w:p w:rsidR="00417EEB" w:rsidRPr="00A14CF1" w:rsidRDefault="00417EEB" w:rsidP="00EB3DB1">
      <w:pPr>
        <w:pStyle w:val="Tytu"/>
        <w:spacing w:after="120"/>
        <w:jc w:val="left"/>
        <w:rPr>
          <w:rFonts w:ascii="Book Antiqua" w:hAnsi="Book Antiqua"/>
          <w:sz w:val="20"/>
        </w:rPr>
      </w:pPr>
    </w:p>
    <w:sectPr w:rsidR="00417EEB" w:rsidRPr="00A14CF1" w:rsidSect="00EB3DB1">
      <w:headerReference w:type="default" r:id="rId8"/>
      <w:footerReference w:type="default" r:id="rId9"/>
      <w:pgSz w:w="16838" w:h="11906" w:orient="landscape"/>
      <w:pgMar w:top="1417" w:right="141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835" w:rsidRDefault="008A5835" w:rsidP="00260740">
      <w:pPr>
        <w:spacing w:after="0" w:line="240" w:lineRule="auto"/>
      </w:pPr>
      <w:r>
        <w:separator/>
      </w:r>
    </w:p>
  </w:endnote>
  <w:endnote w:type="continuationSeparator" w:id="0">
    <w:p w:rsidR="008A5835" w:rsidRDefault="008A5835"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5311321"/>
      <w:docPartObj>
        <w:docPartGallery w:val="Page Numbers (Bottom of Page)"/>
        <w:docPartUnique/>
      </w:docPartObj>
    </w:sdtPr>
    <w:sdtEndPr/>
    <w:sdtContent>
      <w:p w:rsidR="004D546B" w:rsidRDefault="004D546B" w:rsidP="007C77ED">
        <w:pPr>
          <w:pStyle w:val="Stopka"/>
          <w:jc w:val="center"/>
        </w:pPr>
        <w:r>
          <w:fldChar w:fldCharType="begin"/>
        </w:r>
        <w:r>
          <w:instrText>PAGE   \* MERGEFORMAT</w:instrText>
        </w:r>
        <w:r>
          <w:fldChar w:fldCharType="separate"/>
        </w:r>
        <w:r w:rsidR="00563745">
          <w:rPr>
            <w:noProof/>
          </w:rPr>
          <w:t>2</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835" w:rsidRDefault="008A5835" w:rsidP="00260740">
      <w:pPr>
        <w:spacing w:after="0" w:line="240" w:lineRule="auto"/>
      </w:pPr>
      <w:r>
        <w:separator/>
      </w:r>
    </w:p>
  </w:footnote>
  <w:footnote w:type="continuationSeparator" w:id="0">
    <w:p w:rsidR="008A5835" w:rsidRDefault="008A5835" w:rsidP="00260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546B" w:rsidRPr="007C77ED" w:rsidRDefault="004D546B"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B-28</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F72DD4"/>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6069F5"/>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203AB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F26217"/>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BFE139E"/>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B57BFA"/>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DAF4252"/>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E622CA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CBB648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FB724F"/>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291A3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F363EEB"/>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F62AD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3124CAC"/>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8"/>
  </w:num>
  <w:num w:numId="2">
    <w:abstractNumId w:val="1"/>
  </w:num>
  <w:num w:numId="3">
    <w:abstractNumId w:val="6"/>
  </w:num>
  <w:num w:numId="4">
    <w:abstractNumId w:val="11"/>
  </w:num>
  <w:num w:numId="5">
    <w:abstractNumId w:val="14"/>
  </w:num>
  <w:num w:numId="6">
    <w:abstractNumId w:val="4"/>
  </w:num>
  <w:num w:numId="7">
    <w:abstractNumId w:val="12"/>
  </w:num>
  <w:num w:numId="8">
    <w:abstractNumId w:val="9"/>
  </w:num>
  <w:num w:numId="9">
    <w:abstractNumId w:val="17"/>
  </w:num>
  <w:num w:numId="10">
    <w:abstractNumId w:val="10"/>
  </w:num>
  <w:num w:numId="11">
    <w:abstractNumId w:val="16"/>
  </w:num>
  <w:num w:numId="12">
    <w:abstractNumId w:val="8"/>
  </w:num>
  <w:num w:numId="13">
    <w:abstractNumId w:val="2"/>
  </w:num>
  <w:num w:numId="14">
    <w:abstractNumId w:val="3"/>
  </w:num>
  <w:num w:numId="15">
    <w:abstractNumId w:val="13"/>
  </w:num>
  <w:num w:numId="16">
    <w:abstractNumId w:val="5"/>
  </w:num>
  <w:num w:numId="17">
    <w:abstractNumId w:val="15"/>
  </w:num>
  <w:num w:numId="1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57D9E"/>
    <w:rsid w:val="00081C9D"/>
    <w:rsid w:val="00092EE6"/>
    <w:rsid w:val="000938ED"/>
    <w:rsid w:val="00095346"/>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3D3"/>
    <w:rsid w:val="001E69BF"/>
    <w:rsid w:val="001F3782"/>
    <w:rsid w:val="00202FAA"/>
    <w:rsid w:val="002040DF"/>
    <w:rsid w:val="00207AF0"/>
    <w:rsid w:val="002315FA"/>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3DFC"/>
    <w:rsid w:val="00417EEB"/>
    <w:rsid w:val="00430D60"/>
    <w:rsid w:val="00433F94"/>
    <w:rsid w:val="004454EF"/>
    <w:rsid w:val="00450F08"/>
    <w:rsid w:val="00463AEF"/>
    <w:rsid w:val="00481404"/>
    <w:rsid w:val="004824FB"/>
    <w:rsid w:val="0048696C"/>
    <w:rsid w:val="0049159E"/>
    <w:rsid w:val="00491934"/>
    <w:rsid w:val="004B3B35"/>
    <w:rsid w:val="004D1CF4"/>
    <w:rsid w:val="004D546B"/>
    <w:rsid w:val="004E1E68"/>
    <w:rsid w:val="004F28E8"/>
    <w:rsid w:val="004F7347"/>
    <w:rsid w:val="00505439"/>
    <w:rsid w:val="00511973"/>
    <w:rsid w:val="005526D0"/>
    <w:rsid w:val="005543D2"/>
    <w:rsid w:val="00563745"/>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415D4"/>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A5835"/>
    <w:rsid w:val="008B2FCB"/>
    <w:rsid w:val="008C62BE"/>
    <w:rsid w:val="008D5D2E"/>
    <w:rsid w:val="008F36F6"/>
    <w:rsid w:val="00916C5F"/>
    <w:rsid w:val="00917792"/>
    <w:rsid w:val="00930A76"/>
    <w:rsid w:val="00934065"/>
    <w:rsid w:val="009503CF"/>
    <w:rsid w:val="009653D0"/>
    <w:rsid w:val="009A3F63"/>
    <w:rsid w:val="009A6B77"/>
    <w:rsid w:val="009B54BB"/>
    <w:rsid w:val="009D2220"/>
    <w:rsid w:val="009E4E92"/>
    <w:rsid w:val="009F2FC4"/>
    <w:rsid w:val="00A05344"/>
    <w:rsid w:val="00A13190"/>
    <w:rsid w:val="00A14CF1"/>
    <w:rsid w:val="00A16C92"/>
    <w:rsid w:val="00A336C0"/>
    <w:rsid w:val="00A33C70"/>
    <w:rsid w:val="00A46F0C"/>
    <w:rsid w:val="00A61D34"/>
    <w:rsid w:val="00A74D2E"/>
    <w:rsid w:val="00A86AB9"/>
    <w:rsid w:val="00A97574"/>
    <w:rsid w:val="00AC4907"/>
    <w:rsid w:val="00AD42FD"/>
    <w:rsid w:val="00AF4DA6"/>
    <w:rsid w:val="00B06300"/>
    <w:rsid w:val="00B07A63"/>
    <w:rsid w:val="00B37177"/>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1EE0"/>
    <w:rsid w:val="00C020B2"/>
    <w:rsid w:val="00C02457"/>
    <w:rsid w:val="00C03741"/>
    <w:rsid w:val="00C07A72"/>
    <w:rsid w:val="00C114FC"/>
    <w:rsid w:val="00C13004"/>
    <w:rsid w:val="00C273BA"/>
    <w:rsid w:val="00C368B7"/>
    <w:rsid w:val="00C37768"/>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910D2"/>
    <w:rsid w:val="00DA4167"/>
    <w:rsid w:val="00DB067D"/>
    <w:rsid w:val="00DC7A60"/>
    <w:rsid w:val="00DF06EE"/>
    <w:rsid w:val="00DF18EA"/>
    <w:rsid w:val="00DF35DF"/>
    <w:rsid w:val="00E024AC"/>
    <w:rsid w:val="00E071FE"/>
    <w:rsid w:val="00E518F5"/>
    <w:rsid w:val="00E6267D"/>
    <w:rsid w:val="00E634B5"/>
    <w:rsid w:val="00E637AE"/>
    <w:rsid w:val="00E63BB7"/>
    <w:rsid w:val="00E65D3D"/>
    <w:rsid w:val="00E67DD1"/>
    <w:rsid w:val="00E84539"/>
    <w:rsid w:val="00E86279"/>
    <w:rsid w:val="00EA0D8B"/>
    <w:rsid w:val="00EA176C"/>
    <w:rsid w:val="00EA1E43"/>
    <w:rsid w:val="00EA6678"/>
    <w:rsid w:val="00EB3DB1"/>
    <w:rsid w:val="00EB6A8A"/>
    <w:rsid w:val="00EC7C4A"/>
    <w:rsid w:val="00ED1661"/>
    <w:rsid w:val="00EE3313"/>
    <w:rsid w:val="00EF0BEF"/>
    <w:rsid w:val="00F05243"/>
    <w:rsid w:val="00F24296"/>
    <w:rsid w:val="00F4169D"/>
    <w:rsid w:val="00F55CA5"/>
    <w:rsid w:val="00F56056"/>
    <w:rsid w:val="00F570C0"/>
    <w:rsid w:val="00F63F1A"/>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paragraph" w:styleId="Nagwek1">
    <w:name w:val="heading 1"/>
    <w:basedOn w:val="Normalny"/>
    <w:link w:val="Nagwek1Znak"/>
    <w:qFormat/>
    <w:rsid w:val="00057D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
      </w:numPr>
      <w:suppressAutoHyphens/>
      <w:spacing w:after="0" w:line="360" w:lineRule="auto"/>
      <w:jc w:val="both"/>
      <w:outlineLvl w:val="2"/>
    </w:pPr>
    <w:rPr>
      <w:rFonts w:ascii="Times New Roman" w:eastAsia="Times New Roman" w:hAnsi="Times New Roman" w:cs="Times New Roman"/>
      <w:kern w:val="1"/>
      <w:szCs w:val="20"/>
      <w:lang w:eastAsia="ar-SA"/>
    </w:rPr>
  </w:style>
  <w:style w:type="character" w:customStyle="1" w:styleId="Nagwek1Znak">
    <w:name w:val="Nagłówek 1 Znak"/>
    <w:basedOn w:val="Domylnaczcionkaakapitu"/>
    <w:link w:val="Nagwek1"/>
    <w:rsid w:val="00057D9E"/>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21B81-97AB-4D26-B24C-B3BC64800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5414</Words>
  <Characters>32487</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2</cp:revision>
  <cp:lastPrinted>2019-07-24T06:18:00Z</cp:lastPrinted>
  <dcterms:created xsi:type="dcterms:W3CDTF">2019-11-05T08:40:00Z</dcterms:created>
  <dcterms:modified xsi:type="dcterms:W3CDTF">2019-11-05T08:40:00Z</dcterms:modified>
</cp:coreProperties>
</file>