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DF3" w:rsidRPr="00534F97" w:rsidRDefault="00534F97">
      <w:pPr>
        <w:rPr>
          <w:b/>
        </w:rPr>
      </w:pPr>
      <w:r w:rsidRPr="00534F97">
        <w:rPr>
          <w:b/>
        </w:rPr>
        <w:t>11. Nacechowanie stylistyczne wypowiedzi</w:t>
      </w:r>
    </w:p>
    <w:p w:rsidR="00F41E8F" w:rsidRDefault="00F41E8F" w:rsidP="006969B7">
      <w:r>
        <w:t>11.1. Styl jako sposób ukształtowania przekazu</w:t>
      </w:r>
    </w:p>
    <w:p w:rsidR="00F41E8F" w:rsidRDefault="00F41E8F" w:rsidP="00F41E8F">
      <w:pPr>
        <w:jc w:val="both"/>
      </w:pPr>
      <w:r>
        <w:tab/>
        <w:t xml:space="preserve">Wśród licznych reguł </w:t>
      </w:r>
      <w:proofErr w:type="spellStart"/>
      <w:r>
        <w:t>zachowań</w:t>
      </w:r>
      <w:proofErr w:type="spellEnd"/>
      <w:r>
        <w:t xml:space="preserve"> komunikacyjnych istnieją reguły stylistyczne. Najogólniej mówiąc, ich sensem jest przystosowanie przekazu  do treści i celu tego przekazu oraz do sytuacji komunikacyjnej, w tym typu nadawcy, odbiorcy, kontaktu, tworzywa oraz okoliczności. I tak na przykład treścią wykładu uniwersyteckiego są zagadnienia naukowe, a treścią rozmowy potocznej – np. zakupy świąteczne. Celem wykładu jest dostarczenie wiedzy , a rozmowy potocznej - podtrzymywanie kontaktu i wyrażanie emocji. Nadawcą wykładu jest nauczyciel akademicki, który jest</w:t>
      </w:r>
      <w:r w:rsidR="00522586">
        <w:t xml:space="preserve"> nadawcą stałym, a uczestnikiem rozmowy może być każdy, przy czym nadawcy i odbiorcy nieustannie zamieniają się rolami. Wykład ma zbiorowego odbiorcę, a w rozmowie dominuje odbiorca pojedynczy. W obu sytuacjach komunikacyjnych mamy do czynienia z kontaktem bezpośrednim, przy czym wykład ma charakter oficjalny, a rozmowa – nieoficjalny. Tworzywem w obu wypadkach jest język mówiony, choć – w przypadku wykładu występować mogą dodatkowe  tworzywa – obraz i dźwięk. W obu sytuacjach mamy do czynienia z tożsamością czasu i przestrzeni, choć – w mniej standardowych przypadkach</w:t>
      </w:r>
      <w:r w:rsidR="00AC211F">
        <w:t xml:space="preserve"> -</w:t>
      </w:r>
      <w:r w:rsidR="00522586">
        <w:t xml:space="preserve"> można wykład odtworzyć z nagrania po jakimś czasie i przesłać na dalszą odległość, rozmowa z kolei może mieć postać np. czatu internetowego. To tylko przykłady. Biorąc pod uwagę treść, cel oraz elementy sytuacji komunikacyjnej, można stworzyć typologię sposobów ukształtowania przekazu. Takie typologie istnieją. Według nich można opisać </w:t>
      </w:r>
      <w:r w:rsidR="00D372FE">
        <w:t xml:space="preserve">różne style i gatunki tekstów. </w:t>
      </w:r>
      <w:r>
        <w:t xml:space="preserve"> </w:t>
      </w:r>
    </w:p>
    <w:p w:rsidR="00F41E8F" w:rsidRDefault="00D372FE" w:rsidP="006969B7">
      <w:r>
        <w:t>11.2. Styl publiczny i niepubliczny</w:t>
      </w:r>
    </w:p>
    <w:p w:rsidR="00D372FE" w:rsidRDefault="00D372FE" w:rsidP="006969B7">
      <w:r>
        <w:t>Porównajmy:</w:t>
      </w:r>
    </w:p>
    <w:tbl>
      <w:tblPr>
        <w:tblStyle w:val="Tabela-Siatka"/>
        <w:tblW w:w="0" w:type="auto"/>
        <w:tblLook w:val="04A0" w:firstRow="1" w:lastRow="0" w:firstColumn="1" w:lastColumn="0" w:noHBand="0" w:noVBand="1"/>
      </w:tblPr>
      <w:tblGrid>
        <w:gridCol w:w="4606"/>
        <w:gridCol w:w="4606"/>
      </w:tblGrid>
      <w:tr w:rsidR="00D372FE" w:rsidTr="00D372FE">
        <w:tc>
          <w:tcPr>
            <w:tcW w:w="4606" w:type="dxa"/>
          </w:tcPr>
          <w:p w:rsidR="00D372FE" w:rsidRPr="00D372FE" w:rsidRDefault="00D372FE" w:rsidP="006969B7">
            <w:pPr>
              <w:rPr>
                <w:i/>
              </w:rPr>
            </w:pPr>
            <w:r>
              <w:rPr>
                <w:i/>
              </w:rPr>
              <w:t xml:space="preserve">Kowalski po pijaku rozrabiał w sklepie. Kierowniczka zadzwoniła po policję. Kowalski stawiał się gliniarzom. W końcu jednak zwinęli go. </w:t>
            </w:r>
          </w:p>
        </w:tc>
        <w:tc>
          <w:tcPr>
            <w:tcW w:w="4606" w:type="dxa"/>
          </w:tcPr>
          <w:p w:rsidR="00D372FE" w:rsidRPr="00D372FE" w:rsidRDefault="00D372FE" w:rsidP="006969B7">
            <w:pPr>
              <w:rPr>
                <w:i/>
              </w:rPr>
            </w:pPr>
            <w:r>
              <w:rPr>
                <w:i/>
              </w:rPr>
              <w:t>Kowalski, będąc pod wpływem alkoholu</w:t>
            </w:r>
            <w:r w:rsidR="00AC211F">
              <w:rPr>
                <w:i/>
              </w:rPr>
              <w:t>,</w:t>
            </w:r>
            <w:r>
              <w:rPr>
                <w:i/>
              </w:rPr>
              <w:t xml:space="preserve"> zachowywał się agresywnie w sklepie. Zawezwana przez kierowniczkę policja zatrzymała go, chociaż stawiał opór. </w:t>
            </w:r>
          </w:p>
        </w:tc>
      </w:tr>
    </w:tbl>
    <w:p w:rsidR="00D372FE" w:rsidRDefault="00D372FE" w:rsidP="006969B7"/>
    <w:p w:rsidR="00F41E8F" w:rsidRDefault="00D372FE" w:rsidP="006969B7">
      <w:r>
        <w:t>Treść obu przekazów jest taka sama. Te same są też cele</w:t>
      </w:r>
      <w:r w:rsidR="00AC211F">
        <w:t xml:space="preserve"> - informacyjne</w:t>
      </w:r>
      <w:r>
        <w:t xml:space="preserve">. Oba przekazy różnią się sposobem wykorzystania środków językowych. Zestawmy różnice: </w:t>
      </w:r>
    </w:p>
    <w:tbl>
      <w:tblPr>
        <w:tblStyle w:val="Tabela-Siatka"/>
        <w:tblW w:w="0" w:type="auto"/>
        <w:tblLook w:val="04A0" w:firstRow="1" w:lastRow="0" w:firstColumn="1" w:lastColumn="0" w:noHBand="0" w:noVBand="1"/>
      </w:tblPr>
      <w:tblGrid>
        <w:gridCol w:w="4606"/>
        <w:gridCol w:w="4606"/>
      </w:tblGrid>
      <w:tr w:rsidR="00D372FE" w:rsidTr="002E6C18">
        <w:tc>
          <w:tcPr>
            <w:tcW w:w="4606" w:type="dxa"/>
          </w:tcPr>
          <w:p w:rsidR="00D372FE" w:rsidRDefault="00D372FE" w:rsidP="002E6C18">
            <w:pPr>
              <w:rPr>
                <w:i/>
              </w:rPr>
            </w:pPr>
            <w:r>
              <w:rPr>
                <w:i/>
              </w:rPr>
              <w:lastRenderedPageBreak/>
              <w:t xml:space="preserve"> po pijaku </w:t>
            </w:r>
          </w:p>
          <w:p w:rsidR="00D372FE" w:rsidRDefault="00D372FE" w:rsidP="00D372FE">
            <w:pPr>
              <w:rPr>
                <w:i/>
              </w:rPr>
            </w:pPr>
            <w:r>
              <w:rPr>
                <w:i/>
              </w:rPr>
              <w:t>rozrabiał</w:t>
            </w:r>
          </w:p>
          <w:p w:rsidR="00D372FE" w:rsidRDefault="00D372FE" w:rsidP="00D372FE">
            <w:pPr>
              <w:rPr>
                <w:i/>
              </w:rPr>
            </w:pPr>
            <w:r>
              <w:rPr>
                <w:i/>
              </w:rPr>
              <w:t xml:space="preserve">stawiał się gliniarzom </w:t>
            </w:r>
          </w:p>
          <w:p w:rsidR="00D372FE" w:rsidRPr="00D372FE" w:rsidRDefault="001F4CA7" w:rsidP="00D372FE">
            <w:pPr>
              <w:rPr>
                <w:i/>
              </w:rPr>
            </w:pPr>
            <w:r>
              <w:rPr>
                <w:i/>
              </w:rPr>
              <w:t xml:space="preserve"> zwinęli go</w:t>
            </w:r>
            <w:r w:rsidR="00D372FE">
              <w:rPr>
                <w:i/>
              </w:rPr>
              <w:t xml:space="preserve"> </w:t>
            </w:r>
          </w:p>
        </w:tc>
        <w:tc>
          <w:tcPr>
            <w:tcW w:w="4606" w:type="dxa"/>
          </w:tcPr>
          <w:p w:rsidR="00D372FE" w:rsidRDefault="00D372FE" w:rsidP="00D372FE">
            <w:pPr>
              <w:rPr>
                <w:i/>
              </w:rPr>
            </w:pPr>
            <w:r>
              <w:rPr>
                <w:i/>
              </w:rPr>
              <w:t xml:space="preserve">będąc pod wpływem alkoholu zachowywał się agresywnie  </w:t>
            </w:r>
          </w:p>
          <w:p w:rsidR="00D372FE" w:rsidRDefault="00D372FE" w:rsidP="00D372FE">
            <w:pPr>
              <w:rPr>
                <w:i/>
              </w:rPr>
            </w:pPr>
            <w:r>
              <w:rPr>
                <w:i/>
              </w:rPr>
              <w:t>stawiał opór</w:t>
            </w:r>
          </w:p>
          <w:p w:rsidR="00D372FE" w:rsidRPr="00D372FE" w:rsidRDefault="001F4CA7" w:rsidP="00D372FE">
            <w:pPr>
              <w:rPr>
                <w:i/>
              </w:rPr>
            </w:pPr>
            <w:r>
              <w:rPr>
                <w:i/>
              </w:rPr>
              <w:t>zatrzymała go</w:t>
            </w:r>
          </w:p>
        </w:tc>
      </w:tr>
    </w:tbl>
    <w:p w:rsidR="00D372FE" w:rsidRDefault="00D372FE" w:rsidP="006969B7"/>
    <w:p w:rsidR="001F4CA7" w:rsidRDefault="001F4CA7" w:rsidP="001F4CA7">
      <w:pPr>
        <w:jc w:val="both"/>
      </w:pPr>
      <w:r>
        <w:t>Zestaw środków w pierwszej kolumnie ma nacechowanie potoczne i charakteryzuje styl niepubliczny.  Drugi zestaw jest charakt</w:t>
      </w:r>
      <w:r w:rsidR="00AC211F">
        <w:t>erystyczny dla stylu publicznego</w:t>
      </w:r>
      <w:r>
        <w:t>. Czym różnią się oba omawiane style? Zestawmy poszczególne elementy:</w:t>
      </w:r>
    </w:p>
    <w:tbl>
      <w:tblPr>
        <w:tblStyle w:val="Tabela-Siatka"/>
        <w:tblW w:w="0" w:type="auto"/>
        <w:tblLook w:val="01E0" w:firstRow="1" w:lastRow="1" w:firstColumn="1" w:lastColumn="1" w:noHBand="0" w:noVBand="0"/>
      </w:tblPr>
      <w:tblGrid>
        <w:gridCol w:w="3070"/>
        <w:gridCol w:w="3071"/>
        <w:gridCol w:w="3071"/>
      </w:tblGrid>
      <w:tr w:rsidR="001F4CA7" w:rsidRPr="00E01908" w:rsidTr="002E6C18">
        <w:tc>
          <w:tcPr>
            <w:tcW w:w="3070" w:type="dxa"/>
          </w:tcPr>
          <w:p w:rsidR="001F4CA7" w:rsidRPr="00E01908" w:rsidRDefault="001F4CA7" w:rsidP="002E6C18">
            <w:pPr>
              <w:jc w:val="both"/>
            </w:pPr>
          </w:p>
        </w:tc>
        <w:tc>
          <w:tcPr>
            <w:tcW w:w="3071" w:type="dxa"/>
          </w:tcPr>
          <w:p w:rsidR="001F4CA7" w:rsidRPr="00E01908" w:rsidRDefault="001F4CA7" w:rsidP="002E6C18">
            <w:pPr>
              <w:jc w:val="both"/>
            </w:pPr>
            <w:r w:rsidRPr="00E01908">
              <w:t>Komunikowanie publiczne</w:t>
            </w:r>
          </w:p>
        </w:tc>
        <w:tc>
          <w:tcPr>
            <w:tcW w:w="3071" w:type="dxa"/>
          </w:tcPr>
          <w:p w:rsidR="001F4CA7" w:rsidRPr="00E01908" w:rsidRDefault="001F4CA7" w:rsidP="002E6C18">
            <w:pPr>
              <w:jc w:val="both"/>
            </w:pPr>
            <w:r w:rsidRPr="00E01908">
              <w:t xml:space="preserve">Komunikowanie niepubliczne </w:t>
            </w:r>
          </w:p>
        </w:tc>
      </w:tr>
      <w:tr w:rsidR="001F4CA7" w:rsidRPr="00E01908" w:rsidTr="002E6C18">
        <w:tc>
          <w:tcPr>
            <w:tcW w:w="3070" w:type="dxa"/>
          </w:tcPr>
          <w:p w:rsidR="001F4CA7" w:rsidRPr="00E01908" w:rsidRDefault="001F4CA7" w:rsidP="002E6C18">
            <w:pPr>
              <w:jc w:val="both"/>
            </w:pPr>
            <w:r w:rsidRPr="00E01908">
              <w:t xml:space="preserve">Dominujące tematy wypowiedzi </w:t>
            </w:r>
          </w:p>
        </w:tc>
        <w:tc>
          <w:tcPr>
            <w:tcW w:w="3071" w:type="dxa"/>
          </w:tcPr>
          <w:p w:rsidR="001F4CA7" w:rsidRPr="00E01908" w:rsidRDefault="001F4CA7" w:rsidP="002E6C18">
            <w:pPr>
              <w:jc w:val="both"/>
            </w:pPr>
            <w:r w:rsidRPr="00E01908">
              <w:t xml:space="preserve">Życie zbiorowe </w:t>
            </w:r>
          </w:p>
        </w:tc>
        <w:tc>
          <w:tcPr>
            <w:tcW w:w="3071" w:type="dxa"/>
          </w:tcPr>
          <w:p w:rsidR="001F4CA7" w:rsidRPr="00E01908" w:rsidRDefault="001F4CA7" w:rsidP="002E6C18">
            <w:pPr>
              <w:jc w:val="both"/>
            </w:pPr>
            <w:r w:rsidRPr="00E01908">
              <w:t>Życie osobiste</w:t>
            </w:r>
          </w:p>
        </w:tc>
      </w:tr>
      <w:tr w:rsidR="001F4CA7" w:rsidRPr="00E01908" w:rsidTr="002E6C18">
        <w:tc>
          <w:tcPr>
            <w:tcW w:w="3070" w:type="dxa"/>
          </w:tcPr>
          <w:p w:rsidR="001F4CA7" w:rsidRPr="00E01908" w:rsidRDefault="001F4CA7" w:rsidP="002E6C18">
            <w:pPr>
              <w:jc w:val="both"/>
            </w:pPr>
            <w:r w:rsidRPr="00E01908">
              <w:t xml:space="preserve">Dominujące rodzaje ekspresji </w:t>
            </w:r>
          </w:p>
        </w:tc>
        <w:tc>
          <w:tcPr>
            <w:tcW w:w="3071" w:type="dxa"/>
          </w:tcPr>
          <w:p w:rsidR="001F4CA7" w:rsidRPr="00E01908" w:rsidRDefault="001F4CA7" w:rsidP="002E6C18">
            <w:pPr>
              <w:jc w:val="both"/>
            </w:pPr>
            <w:r w:rsidRPr="00E01908">
              <w:t>Wyrażanie wiedzy i przekonań</w:t>
            </w:r>
          </w:p>
        </w:tc>
        <w:tc>
          <w:tcPr>
            <w:tcW w:w="3071" w:type="dxa"/>
          </w:tcPr>
          <w:p w:rsidR="001F4CA7" w:rsidRPr="00E01908" w:rsidRDefault="001F4CA7" w:rsidP="002E6C18">
            <w:pPr>
              <w:jc w:val="both"/>
            </w:pPr>
            <w:r w:rsidRPr="00E01908">
              <w:t xml:space="preserve">Wyrażanie emocji </w:t>
            </w:r>
          </w:p>
        </w:tc>
      </w:tr>
      <w:tr w:rsidR="001F4CA7" w:rsidRPr="00E01908" w:rsidTr="002E6C18">
        <w:tc>
          <w:tcPr>
            <w:tcW w:w="3070" w:type="dxa"/>
          </w:tcPr>
          <w:p w:rsidR="001F4CA7" w:rsidRPr="00E01908" w:rsidRDefault="001F4CA7" w:rsidP="002E6C18">
            <w:pPr>
              <w:jc w:val="both"/>
            </w:pPr>
            <w:r w:rsidRPr="00E01908">
              <w:t>Dominujące cele wypowiedzi</w:t>
            </w:r>
          </w:p>
        </w:tc>
        <w:tc>
          <w:tcPr>
            <w:tcW w:w="3071" w:type="dxa"/>
          </w:tcPr>
          <w:p w:rsidR="001F4CA7" w:rsidRPr="00E01908" w:rsidRDefault="001F4CA7" w:rsidP="002E6C18">
            <w:pPr>
              <w:jc w:val="both"/>
            </w:pPr>
            <w:r w:rsidRPr="00E01908">
              <w:t xml:space="preserve">Perswazyjny:  propagowanie informacyjne, aksjologiczne, agitacja </w:t>
            </w:r>
          </w:p>
        </w:tc>
        <w:tc>
          <w:tcPr>
            <w:tcW w:w="3071" w:type="dxa"/>
          </w:tcPr>
          <w:p w:rsidR="001F4CA7" w:rsidRPr="00E01908" w:rsidRDefault="001F4CA7" w:rsidP="002E6C18">
            <w:pPr>
              <w:jc w:val="both"/>
            </w:pPr>
            <w:r w:rsidRPr="00E01908">
              <w:t xml:space="preserve">Proste informowanie, proste nakłanianie, wyrażanie swoich przekonań, emocji i woli w funkcji fatycznej lub jako cel sam w sobie </w:t>
            </w:r>
          </w:p>
        </w:tc>
      </w:tr>
      <w:tr w:rsidR="001F4CA7" w:rsidRPr="00E01908" w:rsidTr="002E6C18">
        <w:tc>
          <w:tcPr>
            <w:tcW w:w="3070" w:type="dxa"/>
          </w:tcPr>
          <w:p w:rsidR="001F4CA7" w:rsidRPr="00E01908" w:rsidRDefault="001F4CA7" w:rsidP="002E6C18">
            <w:pPr>
              <w:jc w:val="both"/>
            </w:pPr>
            <w:r w:rsidRPr="00E01908">
              <w:t xml:space="preserve">Dominujący typ nadawcy </w:t>
            </w:r>
          </w:p>
        </w:tc>
        <w:tc>
          <w:tcPr>
            <w:tcW w:w="3071" w:type="dxa"/>
          </w:tcPr>
          <w:p w:rsidR="001F4CA7" w:rsidRPr="00E01908" w:rsidRDefault="001F4CA7" w:rsidP="002E6C18">
            <w:pPr>
              <w:jc w:val="both"/>
            </w:pPr>
            <w:r w:rsidRPr="00E01908">
              <w:t xml:space="preserve">Indywidualny lub zbiorowy </w:t>
            </w:r>
          </w:p>
          <w:p w:rsidR="001F4CA7" w:rsidRPr="00E01908" w:rsidRDefault="001F4CA7" w:rsidP="002E6C18">
            <w:pPr>
              <w:jc w:val="both"/>
            </w:pPr>
            <w:r w:rsidRPr="00E01908">
              <w:t>Stały</w:t>
            </w:r>
          </w:p>
          <w:p w:rsidR="001F4CA7" w:rsidRPr="00E01908" w:rsidRDefault="001F4CA7" w:rsidP="002E6C18">
            <w:pPr>
              <w:jc w:val="both"/>
            </w:pPr>
            <w:r w:rsidRPr="00E01908">
              <w:t xml:space="preserve">Wyrazisty lub niewyrazisty </w:t>
            </w:r>
          </w:p>
          <w:p w:rsidR="001F4CA7" w:rsidRPr="00E01908" w:rsidRDefault="001F4CA7" w:rsidP="002E6C18">
            <w:pPr>
              <w:jc w:val="both"/>
            </w:pPr>
            <w:r w:rsidRPr="00E01908">
              <w:t xml:space="preserve">Znany lub nieznany  </w:t>
            </w:r>
          </w:p>
          <w:p w:rsidR="001F4CA7" w:rsidRPr="00E01908" w:rsidRDefault="001F4CA7" w:rsidP="002E6C18">
            <w:pPr>
              <w:jc w:val="both"/>
            </w:pPr>
            <w:r w:rsidRPr="00E01908">
              <w:t xml:space="preserve">Dostępny </w:t>
            </w:r>
            <w:r w:rsidR="00AC211F">
              <w:t>lub niedostępny</w:t>
            </w:r>
          </w:p>
        </w:tc>
        <w:tc>
          <w:tcPr>
            <w:tcW w:w="3071" w:type="dxa"/>
          </w:tcPr>
          <w:p w:rsidR="001F4CA7" w:rsidRPr="00E01908" w:rsidRDefault="001F4CA7" w:rsidP="002E6C18">
            <w:pPr>
              <w:jc w:val="both"/>
            </w:pPr>
            <w:r w:rsidRPr="00E01908">
              <w:t xml:space="preserve">Indywidualny </w:t>
            </w:r>
          </w:p>
          <w:p w:rsidR="001F4CA7" w:rsidRPr="00E01908" w:rsidRDefault="001F4CA7" w:rsidP="002E6C18">
            <w:pPr>
              <w:jc w:val="both"/>
            </w:pPr>
          </w:p>
          <w:p w:rsidR="001F4CA7" w:rsidRPr="00E01908" w:rsidRDefault="001F4CA7" w:rsidP="002E6C18">
            <w:pPr>
              <w:jc w:val="both"/>
            </w:pPr>
            <w:r w:rsidRPr="00E01908">
              <w:t xml:space="preserve">Zmienny </w:t>
            </w:r>
          </w:p>
          <w:p w:rsidR="001F4CA7" w:rsidRPr="00E01908" w:rsidRDefault="001F4CA7" w:rsidP="002E6C18">
            <w:pPr>
              <w:jc w:val="both"/>
            </w:pPr>
            <w:r w:rsidRPr="00E01908">
              <w:t>Wyrazisty</w:t>
            </w:r>
          </w:p>
          <w:p w:rsidR="001F4CA7" w:rsidRPr="00E01908" w:rsidRDefault="001F4CA7" w:rsidP="002E6C18">
            <w:pPr>
              <w:jc w:val="both"/>
            </w:pPr>
          </w:p>
          <w:p w:rsidR="001F4CA7" w:rsidRPr="00E01908" w:rsidRDefault="001F4CA7" w:rsidP="002E6C18">
            <w:pPr>
              <w:jc w:val="both"/>
            </w:pPr>
            <w:r w:rsidRPr="00E01908">
              <w:t xml:space="preserve">Znany </w:t>
            </w:r>
          </w:p>
          <w:p w:rsidR="001F4CA7" w:rsidRPr="00E01908" w:rsidRDefault="001F4CA7" w:rsidP="002E6C18">
            <w:pPr>
              <w:jc w:val="both"/>
            </w:pPr>
            <w:r w:rsidRPr="00E01908">
              <w:t xml:space="preserve">Dostępny </w:t>
            </w:r>
          </w:p>
        </w:tc>
      </w:tr>
      <w:tr w:rsidR="001F4CA7" w:rsidRPr="00E01908" w:rsidTr="002E6C18">
        <w:tc>
          <w:tcPr>
            <w:tcW w:w="3070" w:type="dxa"/>
          </w:tcPr>
          <w:p w:rsidR="001F4CA7" w:rsidRPr="00E01908" w:rsidRDefault="001F4CA7" w:rsidP="002E6C18">
            <w:pPr>
              <w:jc w:val="both"/>
            </w:pPr>
            <w:r w:rsidRPr="00E01908">
              <w:t>Dominujący typ odbiorcy</w:t>
            </w:r>
          </w:p>
        </w:tc>
        <w:tc>
          <w:tcPr>
            <w:tcW w:w="3071" w:type="dxa"/>
          </w:tcPr>
          <w:p w:rsidR="001F4CA7" w:rsidRPr="00E01908" w:rsidRDefault="001F4CA7" w:rsidP="002E6C18">
            <w:pPr>
              <w:jc w:val="both"/>
            </w:pPr>
            <w:r w:rsidRPr="00E01908">
              <w:t xml:space="preserve">Zbiorowy </w:t>
            </w:r>
          </w:p>
          <w:p w:rsidR="001F4CA7" w:rsidRPr="00E01908" w:rsidRDefault="001F4CA7" w:rsidP="002E6C18">
            <w:pPr>
              <w:jc w:val="both"/>
            </w:pPr>
            <w:r w:rsidRPr="00E01908">
              <w:t xml:space="preserve">Wirtualny </w:t>
            </w:r>
          </w:p>
          <w:p w:rsidR="001F4CA7" w:rsidRPr="00E01908" w:rsidRDefault="001F4CA7" w:rsidP="002E6C18">
            <w:pPr>
              <w:jc w:val="both"/>
            </w:pPr>
            <w:r w:rsidRPr="00E01908">
              <w:t xml:space="preserve">Pasywny </w:t>
            </w:r>
          </w:p>
          <w:p w:rsidR="001F4CA7" w:rsidRPr="00E01908" w:rsidRDefault="001F4CA7" w:rsidP="002E6C18">
            <w:pPr>
              <w:jc w:val="both"/>
            </w:pPr>
            <w:r w:rsidRPr="00E01908">
              <w:t xml:space="preserve">Zamierzony </w:t>
            </w:r>
          </w:p>
          <w:p w:rsidR="001F4CA7" w:rsidRPr="00E01908" w:rsidRDefault="001F4CA7" w:rsidP="002E6C18">
            <w:pPr>
              <w:jc w:val="both"/>
            </w:pPr>
            <w:r w:rsidRPr="00E01908">
              <w:t xml:space="preserve">Występowanie odbiorcy – adresata </w:t>
            </w:r>
          </w:p>
        </w:tc>
        <w:tc>
          <w:tcPr>
            <w:tcW w:w="3071" w:type="dxa"/>
          </w:tcPr>
          <w:p w:rsidR="001F4CA7" w:rsidRPr="00E01908" w:rsidRDefault="001F4CA7" w:rsidP="002E6C18">
            <w:pPr>
              <w:jc w:val="both"/>
            </w:pPr>
            <w:r w:rsidRPr="00E01908">
              <w:t xml:space="preserve">Indywidualny </w:t>
            </w:r>
          </w:p>
          <w:p w:rsidR="001F4CA7" w:rsidRPr="00E01908" w:rsidRDefault="001F4CA7" w:rsidP="002E6C18">
            <w:pPr>
              <w:jc w:val="both"/>
            </w:pPr>
            <w:r w:rsidRPr="00E01908">
              <w:t xml:space="preserve">Rzeczywisty </w:t>
            </w:r>
          </w:p>
          <w:p w:rsidR="001F4CA7" w:rsidRPr="00E01908" w:rsidRDefault="001F4CA7" w:rsidP="002E6C18">
            <w:pPr>
              <w:jc w:val="both"/>
            </w:pPr>
            <w:r w:rsidRPr="00E01908">
              <w:t xml:space="preserve">Aktywny </w:t>
            </w:r>
          </w:p>
          <w:p w:rsidR="001F4CA7" w:rsidRPr="00E01908" w:rsidRDefault="001F4CA7" w:rsidP="002E6C18">
            <w:pPr>
              <w:jc w:val="both"/>
            </w:pPr>
            <w:r w:rsidRPr="00E01908">
              <w:t xml:space="preserve">Zamierzony </w:t>
            </w:r>
          </w:p>
          <w:p w:rsidR="001F4CA7" w:rsidRPr="00E01908" w:rsidRDefault="001F4CA7" w:rsidP="002E6C18">
            <w:pPr>
              <w:jc w:val="both"/>
            </w:pPr>
            <w:r w:rsidRPr="00E01908">
              <w:t xml:space="preserve">Niewystępowanie odbiorcy – adresata </w:t>
            </w:r>
          </w:p>
        </w:tc>
      </w:tr>
      <w:tr w:rsidR="001F4CA7" w:rsidRPr="00E01908" w:rsidTr="002E6C18">
        <w:tc>
          <w:tcPr>
            <w:tcW w:w="3070" w:type="dxa"/>
          </w:tcPr>
          <w:p w:rsidR="001F4CA7" w:rsidRPr="00E01908" w:rsidRDefault="001F4CA7" w:rsidP="002E6C18">
            <w:pPr>
              <w:jc w:val="both"/>
            </w:pPr>
            <w:r w:rsidRPr="00E01908">
              <w:t xml:space="preserve">Dominujący typ kontaktu </w:t>
            </w:r>
          </w:p>
        </w:tc>
        <w:tc>
          <w:tcPr>
            <w:tcW w:w="3071" w:type="dxa"/>
          </w:tcPr>
          <w:p w:rsidR="001F4CA7" w:rsidRPr="00E01908" w:rsidRDefault="001F4CA7" w:rsidP="002E6C18">
            <w:pPr>
              <w:jc w:val="both"/>
            </w:pPr>
            <w:r w:rsidRPr="00E01908">
              <w:t>Określone role społeczne</w:t>
            </w:r>
          </w:p>
          <w:p w:rsidR="001F4CA7" w:rsidRPr="00E01908" w:rsidRDefault="001F4CA7" w:rsidP="002E6C18">
            <w:pPr>
              <w:jc w:val="both"/>
            </w:pPr>
            <w:proofErr w:type="spellStart"/>
            <w:r w:rsidRPr="00E01908">
              <w:t>Nierównorzędność</w:t>
            </w:r>
            <w:proofErr w:type="spellEnd"/>
            <w:r w:rsidRPr="00E01908">
              <w:t xml:space="preserve"> ról społecznych  </w:t>
            </w:r>
          </w:p>
          <w:p w:rsidR="001F4CA7" w:rsidRPr="00E01908" w:rsidRDefault="001F4CA7" w:rsidP="002E6C18">
            <w:pPr>
              <w:jc w:val="both"/>
            </w:pPr>
            <w:r w:rsidRPr="00E01908">
              <w:t xml:space="preserve">Jasne role interakcyjne </w:t>
            </w:r>
          </w:p>
          <w:p w:rsidR="001F4CA7" w:rsidRPr="00E01908" w:rsidRDefault="001F4CA7" w:rsidP="002E6C18">
            <w:pPr>
              <w:jc w:val="both"/>
            </w:pPr>
          </w:p>
          <w:p w:rsidR="001F4CA7" w:rsidRPr="00E01908" w:rsidRDefault="001F4CA7" w:rsidP="002E6C18">
            <w:pPr>
              <w:jc w:val="both"/>
            </w:pPr>
            <w:r w:rsidRPr="00E01908">
              <w:t xml:space="preserve">Mały stopień trwałości </w:t>
            </w:r>
          </w:p>
          <w:p w:rsidR="001F4CA7" w:rsidRPr="00E01908" w:rsidRDefault="001F4CA7" w:rsidP="002E6C18">
            <w:pPr>
              <w:jc w:val="both"/>
            </w:pPr>
            <w:r w:rsidRPr="00E01908">
              <w:lastRenderedPageBreak/>
              <w:t>Oficjalność</w:t>
            </w:r>
            <w:r>
              <w:rPr>
                <w:rStyle w:val="Odwoanieprzypisudolnego"/>
              </w:rPr>
              <w:footnoteReference w:id="1"/>
            </w:r>
            <w:r w:rsidRPr="00E01908">
              <w:t xml:space="preserve">: instytucjonalność, brak więzi między nadawcą a odbiorcą  </w:t>
            </w:r>
          </w:p>
          <w:p w:rsidR="001F4CA7" w:rsidRPr="00E01908" w:rsidRDefault="001F4CA7" w:rsidP="002E6C18">
            <w:pPr>
              <w:jc w:val="both"/>
            </w:pPr>
          </w:p>
        </w:tc>
        <w:tc>
          <w:tcPr>
            <w:tcW w:w="3071" w:type="dxa"/>
          </w:tcPr>
          <w:p w:rsidR="001F4CA7" w:rsidRPr="00E01908" w:rsidRDefault="001F4CA7" w:rsidP="002E6C18">
            <w:pPr>
              <w:jc w:val="both"/>
            </w:pPr>
            <w:r w:rsidRPr="00E01908">
              <w:lastRenderedPageBreak/>
              <w:t>Cechy indywidualne</w:t>
            </w:r>
          </w:p>
          <w:p w:rsidR="001F4CA7" w:rsidRPr="00E01908" w:rsidRDefault="001F4CA7" w:rsidP="002E6C18">
            <w:pPr>
              <w:jc w:val="both"/>
            </w:pPr>
            <w:r w:rsidRPr="00E01908">
              <w:t xml:space="preserve">Równorzędność ról społecznych </w:t>
            </w:r>
          </w:p>
          <w:p w:rsidR="001F4CA7" w:rsidRPr="00E01908" w:rsidRDefault="001F4CA7" w:rsidP="002E6C18">
            <w:pPr>
              <w:jc w:val="both"/>
            </w:pPr>
            <w:r w:rsidRPr="00E01908">
              <w:t xml:space="preserve">Nie zawsze jasne role interakcyjne </w:t>
            </w:r>
          </w:p>
          <w:p w:rsidR="001F4CA7" w:rsidRPr="00E01908" w:rsidRDefault="001F4CA7" w:rsidP="002E6C18">
            <w:pPr>
              <w:jc w:val="both"/>
            </w:pPr>
            <w:r w:rsidRPr="00E01908">
              <w:t xml:space="preserve">Duży stopień trwałości </w:t>
            </w:r>
          </w:p>
          <w:p w:rsidR="001F4CA7" w:rsidRPr="00E01908" w:rsidRDefault="001F4CA7" w:rsidP="002E6C18">
            <w:pPr>
              <w:jc w:val="both"/>
            </w:pPr>
            <w:r w:rsidRPr="00E01908">
              <w:lastRenderedPageBreak/>
              <w:t xml:space="preserve">Nieoficjalność: brak instytucjonalności, więź między nadawcą a odbiorcą  </w:t>
            </w:r>
          </w:p>
        </w:tc>
      </w:tr>
      <w:tr w:rsidR="001F4CA7" w:rsidRPr="00E01908" w:rsidTr="002E6C18">
        <w:tc>
          <w:tcPr>
            <w:tcW w:w="3070" w:type="dxa"/>
          </w:tcPr>
          <w:p w:rsidR="001F4CA7" w:rsidRPr="00E01908" w:rsidRDefault="001F4CA7" w:rsidP="002E6C18">
            <w:pPr>
              <w:jc w:val="both"/>
            </w:pPr>
            <w:r w:rsidRPr="00E01908">
              <w:lastRenderedPageBreak/>
              <w:t xml:space="preserve">Dominujące tworzywo </w:t>
            </w:r>
          </w:p>
        </w:tc>
        <w:tc>
          <w:tcPr>
            <w:tcW w:w="3071" w:type="dxa"/>
          </w:tcPr>
          <w:p w:rsidR="001F4CA7" w:rsidRPr="00E01908" w:rsidRDefault="001F4CA7" w:rsidP="002E6C18">
            <w:pPr>
              <w:jc w:val="both"/>
            </w:pPr>
            <w:r w:rsidRPr="00E01908">
              <w:t xml:space="preserve">Język mówiony i pisany w równym stopniu </w:t>
            </w:r>
          </w:p>
        </w:tc>
        <w:tc>
          <w:tcPr>
            <w:tcW w:w="3071" w:type="dxa"/>
          </w:tcPr>
          <w:p w:rsidR="001F4CA7" w:rsidRPr="00E01908" w:rsidRDefault="001F4CA7" w:rsidP="002E6C18">
            <w:pPr>
              <w:jc w:val="both"/>
            </w:pPr>
            <w:r w:rsidRPr="00E01908">
              <w:t xml:space="preserve">Język mówiony </w:t>
            </w:r>
          </w:p>
        </w:tc>
      </w:tr>
      <w:tr w:rsidR="001F4CA7" w:rsidRPr="00E01908" w:rsidTr="002E6C18">
        <w:tc>
          <w:tcPr>
            <w:tcW w:w="3070" w:type="dxa"/>
          </w:tcPr>
          <w:p w:rsidR="001F4CA7" w:rsidRPr="00E01908" w:rsidRDefault="001F4CA7" w:rsidP="002E6C18">
            <w:pPr>
              <w:jc w:val="both"/>
            </w:pPr>
            <w:r w:rsidRPr="00E01908">
              <w:t xml:space="preserve">Dominujące okoliczności fizyczne </w:t>
            </w:r>
          </w:p>
        </w:tc>
        <w:tc>
          <w:tcPr>
            <w:tcW w:w="3071" w:type="dxa"/>
          </w:tcPr>
          <w:p w:rsidR="001F4CA7" w:rsidRPr="00E01908" w:rsidRDefault="001F4CA7" w:rsidP="002E6C18">
            <w:pPr>
              <w:jc w:val="both"/>
            </w:pPr>
            <w:r w:rsidRPr="00E01908">
              <w:t>Istotna rola czasu i przestrzeni oraz innych okoliczności</w:t>
            </w:r>
          </w:p>
        </w:tc>
        <w:tc>
          <w:tcPr>
            <w:tcW w:w="3071" w:type="dxa"/>
          </w:tcPr>
          <w:p w:rsidR="001F4CA7" w:rsidRPr="00E01908" w:rsidRDefault="001F4CA7" w:rsidP="002E6C18">
            <w:pPr>
              <w:jc w:val="both"/>
            </w:pPr>
            <w:r w:rsidRPr="00E01908">
              <w:t xml:space="preserve">Mniej istotna rola czasu i przestrzeni oraz innych okoliczności </w:t>
            </w:r>
          </w:p>
        </w:tc>
      </w:tr>
    </w:tbl>
    <w:p w:rsidR="001F4CA7" w:rsidRDefault="001F4CA7" w:rsidP="001F4CA7">
      <w:pPr>
        <w:jc w:val="both"/>
      </w:pPr>
    </w:p>
    <w:p w:rsidR="00CB4A4E" w:rsidRDefault="00CB4A4E" w:rsidP="00CB4A4E">
      <w:pPr>
        <w:spacing w:line="240" w:lineRule="auto"/>
        <w:jc w:val="both"/>
      </w:pPr>
      <w:r>
        <w:t xml:space="preserve">Przyjmijmy, że dyskurs publiczny charakteryzuje się </w:t>
      </w:r>
      <w:r w:rsidRPr="00AD50F9">
        <w:t xml:space="preserve"> występowanie</w:t>
      </w:r>
      <w:r>
        <w:t>m</w:t>
      </w:r>
      <w:r w:rsidRPr="00AD50F9">
        <w:t xml:space="preserve"> (przynajmniej w założeniu nadawcy) odbiorcy zbiorowego. Innymi słowy: jeśli moja wypowiedź kierowana jest do odbiorcy zbiorowego, którym może być każdy, kto chce słuchać lub czytać, to wypowiedź ma charakter publiczny.  </w:t>
      </w:r>
      <w:r>
        <w:t xml:space="preserve">W świetle tej uwagi </w:t>
      </w:r>
      <w:r w:rsidRPr="00AD50F9">
        <w:t>napis na murze jest wypowiedzią publiczną</w:t>
      </w:r>
      <w:r>
        <w:t>. A c</w:t>
      </w:r>
      <w:r w:rsidRPr="00AD50F9">
        <w:t xml:space="preserve">zy kłótnia rodzinna, którą słychać na całej ulicy, jest </w:t>
      </w:r>
      <w:r>
        <w:t>nią także</w:t>
      </w:r>
      <w:r w:rsidRPr="00AD50F9">
        <w:t xml:space="preserve">? </w:t>
      </w:r>
      <w:r>
        <w:t xml:space="preserve">Raczej nie, ponieważ </w:t>
      </w:r>
      <w:r w:rsidRPr="00AD50F9">
        <w:t xml:space="preserve"> </w:t>
      </w:r>
      <w:r>
        <w:t>z</w:t>
      </w:r>
      <w:r w:rsidRPr="00AD50F9">
        <w:t xml:space="preserve">biorowy odbiorca powinien być zamierzony. Wypowiedź publiczna </w:t>
      </w:r>
      <w:r>
        <w:t>jest</w:t>
      </w:r>
      <w:r w:rsidRPr="00AD50F9">
        <w:t xml:space="preserve"> nie mimowolnie, ale celowo skierowana do odbiorcy zbiorowego, a owa zbiorowość jest – przynajmniej teoretycznie </w:t>
      </w:r>
      <w:r>
        <w:t xml:space="preserve">- </w:t>
      </w:r>
      <w:r w:rsidRPr="00AD50F9">
        <w:t xml:space="preserve">nieograniczona. Ograniczoność liczby odbiorców odbiera – w moim przekonaniu - jej charakter publiczny. Tak więc toast wygłoszony na cześć solenizanta kierowany jest do gości imieninowych i nie ma charakteru publicznego, nawet jeśli – mimo woli nadawcy - słyszą go osoby spoza grona uczestników imprezy. </w:t>
      </w:r>
      <w:r>
        <w:t xml:space="preserve">Można by zatem przyjąć, że istotą dyskursu publicznego jest </w:t>
      </w:r>
      <w:r w:rsidRPr="0041684E">
        <w:rPr>
          <w:b/>
        </w:rPr>
        <w:t>założenie istnienia odbiorcy zbiorowego i zamierzonego</w:t>
      </w:r>
      <w:r>
        <w:t>. Weźmy jednak pod uwagę jeszcze jedną okoliczność</w:t>
      </w:r>
      <w:r>
        <w:rPr>
          <w:rStyle w:val="Odwoanieprzypisudolnego"/>
        </w:rPr>
        <w:footnoteReference w:id="2"/>
      </w:r>
      <w:r>
        <w:t xml:space="preserve">. Odbywa się rozmowa o charakterze niepublicznym. Zostaje ona nagrana bez wiedzy części jej uczestników, a potem upubliczniona. Odbiorca zbiorowy i zamierzony nie został tu przewidziany, raczej przeciwnie – w intencji uczestników rozmowy został wykluczony. W takim wypadku mielibyśmy do czynienia nie z dyskursem publicznym, lecz niepublicznym, ale </w:t>
      </w:r>
      <w:r w:rsidRPr="0039468C">
        <w:rPr>
          <w:b/>
        </w:rPr>
        <w:t>upublicznionym</w:t>
      </w:r>
      <w:r>
        <w:t xml:space="preserve">. Biorąc pod uwagę współczesne środki techniczne oraz realia życia społecznego, należałoby jeszcze i taki dyskurs wyodrębnić. Tak więc – poza założeniem istnienia odbiorcy zbiorowego i zamierzonego  uczestnicy </w:t>
      </w:r>
      <w:r w:rsidRPr="00D65058">
        <w:rPr>
          <w:b/>
        </w:rPr>
        <w:t>dyskurs</w:t>
      </w:r>
      <w:r>
        <w:rPr>
          <w:b/>
        </w:rPr>
        <w:t>u</w:t>
      </w:r>
      <w:r w:rsidRPr="00D65058">
        <w:rPr>
          <w:b/>
        </w:rPr>
        <w:t xml:space="preserve"> publiczn</w:t>
      </w:r>
      <w:r>
        <w:rPr>
          <w:b/>
        </w:rPr>
        <w:t xml:space="preserve">ego są przekonani o powszechnej dopuszczalności </w:t>
      </w:r>
      <w:r>
        <w:t xml:space="preserve"> </w:t>
      </w:r>
      <w:r w:rsidRPr="008B5070">
        <w:rPr>
          <w:b/>
        </w:rPr>
        <w:t>treści</w:t>
      </w:r>
      <w:r>
        <w:t xml:space="preserve">, </w:t>
      </w:r>
      <w:r>
        <w:lastRenderedPageBreak/>
        <w:t>będących przedmiotem dyskursu. Brak takiej dopuszczalności wynika z ograniczeń prawnych i/lub obyczajowych</w:t>
      </w:r>
      <w:r>
        <w:rPr>
          <w:rStyle w:val="Odwoanieprzypisudolnego"/>
        </w:rPr>
        <w:footnoteReference w:id="3"/>
      </w:r>
      <w:r>
        <w:t xml:space="preserve">. </w:t>
      </w:r>
    </w:p>
    <w:p w:rsidR="001F4CA7" w:rsidRDefault="001F4CA7" w:rsidP="006969B7"/>
    <w:p w:rsidR="00CB4A4E" w:rsidRDefault="00CB4A4E" w:rsidP="006969B7">
      <w:r>
        <w:t>11.3. Style funkcjonalne</w:t>
      </w:r>
    </w:p>
    <w:p w:rsidR="001F4CA7" w:rsidRDefault="00153062" w:rsidP="00153062">
      <w:pPr>
        <w:spacing w:line="240" w:lineRule="auto"/>
        <w:ind w:firstLine="709"/>
        <w:jc w:val="both"/>
      </w:pPr>
      <w:r w:rsidRPr="00273506">
        <w:rPr>
          <w:b/>
        </w:rPr>
        <w:t>Sposób ukształtowania wypowiedzi</w:t>
      </w:r>
      <w:r>
        <w:t>, rozpatrywany na poziomie organizacji tekstu</w:t>
      </w:r>
      <w:r>
        <w:rPr>
          <w:rStyle w:val="Odwoanieprzypisudolnego"/>
        </w:rPr>
        <w:footnoteReference w:id="4"/>
      </w:r>
      <w:r>
        <w:t xml:space="preserve">, obejmuje m. in. styl oraz gatunek tekstu. Za kryterium wyodrębniania </w:t>
      </w:r>
      <w:r w:rsidRPr="00273506">
        <w:rPr>
          <w:b/>
        </w:rPr>
        <w:t>gatunku tekstu</w:t>
      </w:r>
      <w:r>
        <w:t xml:space="preserve"> przyjmuję - za Aleksym Awdiejewem i Grażyną Habrajską</w:t>
      </w:r>
      <w:r>
        <w:rPr>
          <w:rStyle w:val="Odwoanieprzypisudolnego"/>
        </w:rPr>
        <w:footnoteReference w:id="5"/>
      </w:r>
      <w:r>
        <w:t xml:space="preserve"> – cel komunikacyjny, kryterium wyodrębniania </w:t>
      </w:r>
      <w:r w:rsidRPr="00273506">
        <w:rPr>
          <w:b/>
        </w:rPr>
        <w:t>stylu</w:t>
      </w:r>
      <w:r>
        <w:t xml:space="preserve"> jest zaś zespół wykładników językowych. Przywoływani autorzy, proponując wskazane kryteria, aprobują przyjęty w dotychczasowych opisach  podział stylów na: potoczny, naukowy, urzędowy, publicystyczny i literacki; biorą pod uwagę także istnienie stylów mieszanych, charakteryzujących się dążeniem do osiągnięcia więcej niż jednego celu komunikacyjnego</w:t>
      </w:r>
      <w:r>
        <w:rPr>
          <w:rStyle w:val="Odwoanieprzypisudolnego"/>
        </w:rPr>
        <w:footnoteReference w:id="6"/>
      </w:r>
      <w:r>
        <w:t xml:space="preserve">. </w:t>
      </w:r>
    </w:p>
    <w:p w:rsidR="00534F97" w:rsidRDefault="00153062" w:rsidP="009961BE">
      <w:pPr>
        <w:jc w:val="both"/>
      </w:pPr>
      <w:r>
        <w:tab/>
      </w:r>
      <w:r w:rsidR="00281203">
        <w:t>O stylu potocznym przywoływani</w:t>
      </w:r>
      <w:r w:rsidR="009961BE">
        <w:t xml:space="preserve"> autorzy piszą następująco:  „Przeznaczeniem języka potocznego jest organizacja  bezpośredniej komunikacji face  - to – face w warunkach realnego (fizycznego) kontaktu interlokutorów, kiedy znajdują się oni w tym samym miejscu i czasie oraz mają jednakowe możliwości obserwacji otoczenia (tła komunikacyjnego)”</w:t>
      </w:r>
      <w:r w:rsidR="009961BE">
        <w:rPr>
          <w:rStyle w:val="Odwoanieprzypisudolnego"/>
        </w:rPr>
        <w:footnoteReference w:id="7"/>
      </w:r>
      <w:r w:rsidR="009961BE">
        <w:t xml:space="preserve">. Oto przykład zastosowania omawianego stylu: </w:t>
      </w:r>
    </w:p>
    <w:p w:rsidR="009961BE" w:rsidRDefault="009961BE" w:rsidP="009961BE">
      <w:pPr>
        <w:jc w:val="both"/>
        <w:rPr>
          <w:i/>
        </w:rPr>
      </w:pPr>
      <w:r>
        <w:t xml:space="preserve">Mąż: </w:t>
      </w:r>
      <w:r>
        <w:rPr>
          <w:i/>
        </w:rPr>
        <w:t>Po co kupiłaś tyle tego jedzenia? Kto to wszystko zje?</w:t>
      </w:r>
    </w:p>
    <w:p w:rsidR="009961BE" w:rsidRPr="009961BE" w:rsidRDefault="009961BE" w:rsidP="009961BE">
      <w:pPr>
        <w:jc w:val="both"/>
      </w:pPr>
      <w:r>
        <w:t xml:space="preserve">Żona: </w:t>
      </w:r>
      <w:r>
        <w:rPr>
          <w:i/>
        </w:rPr>
        <w:t xml:space="preserve">Jak to kto? Ty, ja, dzieciaki, Adam, Twoi rodzice. </w:t>
      </w:r>
    </w:p>
    <w:p w:rsidR="009961BE" w:rsidRDefault="009961BE" w:rsidP="009961BE">
      <w:pPr>
        <w:jc w:val="both"/>
        <w:rPr>
          <w:i/>
        </w:rPr>
      </w:pPr>
      <w:r>
        <w:t xml:space="preserve">Mąż: </w:t>
      </w:r>
      <w:r>
        <w:rPr>
          <w:i/>
        </w:rPr>
        <w:t>W zeszłym roku było mniej i jakoś przeżyliśmy.</w:t>
      </w:r>
    </w:p>
    <w:p w:rsidR="009961BE" w:rsidRDefault="009961BE" w:rsidP="009961BE">
      <w:pPr>
        <w:jc w:val="both"/>
        <w:rPr>
          <w:i/>
        </w:rPr>
      </w:pPr>
      <w:r>
        <w:t xml:space="preserve">Żona: </w:t>
      </w:r>
      <w:r>
        <w:rPr>
          <w:i/>
        </w:rPr>
        <w:t>Co ty tam wiesz</w:t>
      </w:r>
      <w:r w:rsidR="006E5ADF">
        <w:rPr>
          <w:i/>
        </w:rPr>
        <w:t>! Kiedyście z tatą raczyli się wiśniów</w:t>
      </w:r>
      <w:r w:rsidR="00281203">
        <w:rPr>
          <w:i/>
        </w:rPr>
        <w:t>ecz</w:t>
      </w:r>
      <w:r w:rsidR="006E5ADF">
        <w:rPr>
          <w:i/>
        </w:rPr>
        <w:t>ką, a mama poszła z dzieciakami na spacer, prosiłam Adama, żeby skoczył  do sąsiada i wybłagał trochę masła, bo reszta z moich zakupów poszła na kolację w pierwsze święto. Lepiej mieć zapas, żeby obciachu nie było.</w:t>
      </w:r>
    </w:p>
    <w:p w:rsidR="006E5ADF" w:rsidRDefault="006E5ADF" w:rsidP="009961BE">
      <w:pPr>
        <w:jc w:val="both"/>
      </w:pPr>
      <w:r>
        <w:lastRenderedPageBreak/>
        <w:t>Sytuacja opisywana przez A. Awdiejewa i G. Habrajską ma charakter  standardowy. Język potoczny wykorzystywany jest też w rozmowie telefonicznej, w której nie ma warunków do bezpośredniej obserwacji otoczenia  przez obu partnerów, dlatego niektóre elementy tego otoczenia są nazwane w wypowiedzi, na przykład:</w:t>
      </w:r>
    </w:p>
    <w:p w:rsidR="006E5ADF" w:rsidRDefault="006E5ADF" w:rsidP="009961BE">
      <w:pPr>
        <w:jc w:val="both"/>
      </w:pPr>
      <w:r>
        <w:t xml:space="preserve">Jeden z interlokutorów przerywa rozmowę i mówi: </w:t>
      </w:r>
    </w:p>
    <w:p w:rsidR="006E5ADF" w:rsidRDefault="006E5ADF" w:rsidP="009961BE">
      <w:pPr>
        <w:jc w:val="both"/>
        <w:rPr>
          <w:i/>
        </w:rPr>
      </w:pPr>
      <w:r>
        <w:rPr>
          <w:i/>
        </w:rPr>
        <w:t xml:space="preserve">Oddzwonię do ciebie później, bo ktoś się do mnie dobija. </w:t>
      </w:r>
    </w:p>
    <w:p w:rsidR="00281203" w:rsidRDefault="009F35BD" w:rsidP="009961BE">
      <w:pPr>
        <w:jc w:val="both"/>
      </w:pPr>
      <w:r>
        <w:t>Jeszcze inaczej bywa w czasie rozmowy internetowej. Tu można posługiwać się tylko słowe</w:t>
      </w:r>
      <w:r w:rsidR="00281203">
        <w:t>m.  Kiedy rozmówcy korzystają z kamer</w:t>
      </w:r>
      <w:r>
        <w:t>, to wtedy siebie widzą, mogą też pokazywać pewne elementy otoczenia, ale tylko jedna strona decyduje o tym, co pokaże, więc nie do końca opisywana sytuacja podobna jest do rozmowy bezpośredniej. Środkami komunikowania potocznego są m.in.</w:t>
      </w:r>
    </w:p>
    <w:p w:rsidR="006E5ADF" w:rsidRDefault="00281203" w:rsidP="009961BE">
      <w:pPr>
        <w:jc w:val="both"/>
        <w:rPr>
          <w:i/>
        </w:rPr>
      </w:pPr>
      <w:r>
        <w:t xml:space="preserve">- </w:t>
      </w:r>
      <w:r w:rsidR="009F35BD">
        <w:t xml:space="preserve"> uproszczona wymowa, np. </w:t>
      </w:r>
      <w:proofErr w:type="spellStart"/>
      <w:r>
        <w:rPr>
          <w:i/>
        </w:rPr>
        <w:t>pierszy</w:t>
      </w:r>
      <w:proofErr w:type="spellEnd"/>
      <w:r>
        <w:rPr>
          <w:i/>
        </w:rPr>
        <w:t xml:space="preserve">, </w:t>
      </w:r>
    </w:p>
    <w:p w:rsidR="00281203" w:rsidRDefault="00281203" w:rsidP="009961BE">
      <w:pPr>
        <w:jc w:val="both"/>
        <w:rPr>
          <w:i/>
        </w:rPr>
      </w:pPr>
      <w:r>
        <w:t xml:space="preserve">- zakłócenia toku mowy, np. </w:t>
      </w:r>
      <w:r>
        <w:rPr>
          <w:i/>
        </w:rPr>
        <w:t xml:space="preserve">Kowalski nie ma go tu, </w:t>
      </w:r>
    </w:p>
    <w:p w:rsidR="00281203" w:rsidRDefault="00281203" w:rsidP="009961BE">
      <w:pPr>
        <w:jc w:val="both"/>
        <w:rPr>
          <w:i/>
        </w:rPr>
      </w:pPr>
      <w:r>
        <w:t xml:space="preserve">- kreatywność słowotwórcza, np. </w:t>
      </w:r>
      <w:proofErr w:type="spellStart"/>
      <w:r>
        <w:rPr>
          <w:i/>
        </w:rPr>
        <w:t>kobietówka</w:t>
      </w:r>
      <w:proofErr w:type="spellEnd"/>
      <w:r>
        <w:rPr>
          <w:i/>
        </w:rPr>
        <w:t xml:space="preserve">, </w:t>
      </w:r>
    </w:p>
    <w:p w:rsidR="00281203" w:rsidRDefault="00281203" w:rsidP="009961BE">
      <w:pPr>
        <w:jc w:val="both"/>
        <w:rPr>
          <w:i/>
        </w:rPr>
      </w:pPr>
      <w:r>
        <w:t xml:space="preserve">- wyznaczniki dla TU i TERAZ, np. </w:t>
      </w:r>
      <w:r w:rsidR="008B2B98">
        <w:rPr>
          <w:i/>
        </w:rPr>
        <w:t xml:space="preserve">podaj mi tę żółtą. </w:t>
      </w:r>
    </w:p>
    <w:p w:rsidR="008B2B98" w:rsidRDefault="009F35BD" w:rsidP="008B2B98">
      <w:pPr>
        <w:ind w:firstLine="708"/>
        <w:jc w:val="both"/>
      </w:pPr>
      <w:r>
        <w:t>Styl naukowy ma na celu organizację „procesu poznawczego, czyli wspólne dążenie  uczestników komunikacji do udowodnienia prawdy lub wiarygodności opisywanych zjawisk rzeczywistości</w:t>
      </w:r>
      <w:r w:rsidR="008B2B98">
        <w:t>, z pozycji obiektywnych i niezależnych od jakichkolwiek indywidualnych postaw”</w:t>
      </w:r>
      <w:r w:rsidR="008B2B98">
        <w:rPr>
          <w:rStyle w:val="Odwoanieprzypisudolnego"/>
        </w:rPr>
        <w:footnoteReference w:id="8"/>
      </w:r>
      <w:r w:rsidR="008B2B98">
        <w:t>. Wyznacznikami omawianego stylu są m.in.:</w:t>
      </w:r>
    </w:p>
    <w:p w:rsidR="009F35BD" w:rsidRPr="006E5ADF" w:rsidRDefault="008B2B98" w:rsidP="008B2B98">
      <w:pPr>
        <w:jc w:val="both"/>
      </w:pPr>
      <w:r>
        <w:t xml:space="preserve">- wyznaczniki bezosobowości, np. </w:t>
      </w:r>
      <w:r w:rsidRPr="008B2B98">
        <w:rPr>
          <w:i/>
        </w:rPr>
        <w:t>ustalono, że…,</w:t>
      </w:r>
      <w:r w:rsidR="009F35BD">
        <w:t xml:space="preserve"> </w:t>
      </w:r>
    </w:p>
    <w:p w:rsidR="009961BE" w:rsidRDefault="008B2B98">
      <w:pPr>
        <w:rPr>
          <w:i/>
        </w:rPr>
      </w:pPr>
      <w:r>
        <w:t xml:space="preserve">- wyznaczniki referencji naukowej, np. </w:t>
      </w:r>
      <w:r w:rsidRPr="008B2B98">
        <w:rPr>
          <w:i/>
        </w:rPr>
        <w:t>jak wskazały badania X-a…,</w:t>
      </w:r>
    </w:p>
    <w:p w:rsidR="008B2B98" w:rsidRDefault="008B2B98">
      <w:pPr>
        <w:rPr>
          <w:i/>
        </w:rPr>
      </w:pPr>
      <w:r>
        <w:t xml:space="preserve">- terminologia naukowa, np. </w:t>
      </w:r>
      <w:r>
        <w:rPr>
          <w:i/>
        </w:rPr>
        <w:t xml:space="preserve">struktura </w:t>
      </w:r>
      <w:proofErr w:type="spellStart"/>
      <w:r>
        <w:rPr>
          <w:i/>
        </w:rPr>
        <w:t>predykatowo</w:t>
      </w:r>
      <w:proofErr w:type="spellEnd"/>
      <w:r>
        <w:rPr>
          <w:i/>
        </w:rPr>
        <w:t xml:space="preserve">-argumentowa, </w:t>
      </w:r>
    </w:p>
    <w:p w:rsidR="008B2B98" w:rsidRDefault="008B2B98" w:rsidP="008B2B98">
      <w:pPr>
        <w:jc w:val="both"/>
        <w:rPr>
          <w:i/>
        </w:rPr>
      </w:pPr>
      <w:r>
        <w:t xml:space="preserve">- argumentacja, np. </w:t>
      </w:r>
      <w:r>
        <w:rPr>
          <w:i/>
        </w:rPr>
        <w:t>w języku mówionym młodzieży licealnej występuje więcej niż w języku dorosłych zaimków o niejasnej funkcji oraz wyrażeń o niskim stopniu precyzyjności; w dydaktyce szkolnej więcej uwagi poświęca się formom pisanym niż mówionym, a zatem należy postulować, by w dydaktyce więcej miejsca poświęcać formom mówionym.</w:t>
      </w:r>
    </w:p>
    <w:p w:rsidR="000B6FED" w:rsidRDefault="000B6FED" w:rsidP="008B2B98">
      <w:pPr>
        <w:jc w:val="both"/>
      </w:pPr>
      <w:r>
        <w:lastRenderedPageBreak/>
        <w:t>A oto próbka tekstu sformułowanego w stylu naukowym:</w:t>
      </w:r>
    </w:p>
    <w:p w:rsidR="008B2B98" w:rsidRPr="000B6FED" w:rsidRDefault="000B6FED" w:rsidP="008B2B98">
      <w:pPr>
        <w:jc w:val="both"/>
        <w:rPr>
          <w:i/>
        </w:rPr>
      </w:pPr>
      <w:r w:rsidRPr="000B6FED">
        <w:rPr>
          <w:i/>
        </w:rPr>
        <w:t xml:space="preserve">Antybiotyk oddziałuje na różne elementy strukturalne drobnoustrojów począwszy od ściany i błony komórkowej poprzez enzymy uczestniczące w metabolizmie komórki, a skończywszy na rybosomach odpowiedzialnych za biosyntezę białka. Posiadanie plazmidu niosącego geny oporności daje szansę drobnoustrojowi na przeżycie i przekazanie swoich cech kolejnym generacjom. </w:t>
      </w:r>
    </w:p>
    <w:p w:rsidR="000B6FED" w:rsidRDefault="00071131" w:rsidP="008B2B98">
      <w:pPr>
        <w:jc w:val="both"/>
      </w:pPr>
      <w:hyperlink r:id="rId9" w:history="1">
        <w:r w:rsidR="000B6FED">
          <w:rPr>
            <w:rStyle w:val="Hipercze"/>
          </w:rPr>
          <w:t>http://www.kwadryga.pl/upload/Dokumenty/Artykuly_naukowe/Gf_12_08_32-32.pdf</w:t>
        </w:r>
      </w:hyperlink>
      <w:r w:rsidR="000B6FED">
        <w:t xml:space="preserve"> [dostęp 14.12.2019]</w:t>
      </w:r>
    </w:p>
    <w:p w:rsidR="000B6FED" w:rsidRDefault="000B6FED" w:rsidP="008B2B98">
      <w:pPr>
        <w:jc w:val="both"/>
      </w:pPr>
      <w:r>
        <w:tab/>
        <w:t>Cel komunikacyjny dyskursu urzędowego to „kodyfikacja stosunków społecznych w postaci różnego typu dokumentów, mających tak zwaną siłę prawną, czyli powodujących uregulowanie lub zmianę obowiązków społecznych dla określonych w tychże dokumentach podmiotów, które podlegają odpowiednim sankcjom w przypadku niespełnienia  tych obowiązków”</w:t>
      </w:r>
      <w:r>
        <w:rPr>
          <w:rStyle w:val="Odwoanieprzypisudolnego"/>
        </w:rPr>
        <w:footnoteReference w:id="9"/>
      </w:r>
      <w:r w:rsidR="00DE542C">
        <w:t>. Cechami urzędowych są m.in.:</w:t>
      </w:r>
    </w:p>
    <w:p w:rsidR="00DE542C" w:rsidRDefault="00DE542C" w:rsidP="008B2B98">
      <w:pPr>
        <w:jc w:val="both"/>
      </w:pPr>
      <w:r>
        <w:t xml:space="preserve">- terminologia, np. </w:t>
      </w:r>
      <w:r w:rsidRPr="00DE542C">
        <w:rPr>
          <w:i/>
        </w:rPr>
        <w:t>strona</w:t>
      </w:r>
      <w:r>
        <w:t xml:space="preserve"> (w procesie sądowym), </w:t>
      </w:r>
    </w:p>
    <w:p w:rsidR="00DE542C" w:rsidRDefault="00DE542C" w:rsidP="008B2B98">
      <w:pPr>
        <w:jc w:val="both"/>
      </w:pPr>
      <w:r>
        <w:t xml:space="preserve">- wyznaczniki prawomocności, w tym uwierzytelnienie podpisem i pieczątką, </w:t>
      </w:r>
    </w:p>
    <w:p w:rsidR="00DE542C" w:rsidRDefault="00DE542C" w:rsidP="008B2B98">
      <w:pPr>
        <w:jc w:val="both"/>
      </w:pPr>
      <w:r>
        <w:t xml:space="preserve">- schemat obowiązujący dla określonego typu tekstu, np. umowy o dzieło, podania, protokołu. </w:t>
      </w:r>
    </w:p>
    <w:p w:rsidR="00DE542C" w:rsidRDefault="00DE542C" w:rsidP="008B2B98">
      <w:pPr>
        <w:jc w:val="both"/>
      </w:pPr>
      <w:r>
        <w:t>A oto przykład tekstu urzędowego:</w:t>
      </w:r>
    </w:p>
    <w:p w:rsidR="00737D82" w:rsidRDefault="00737D82" w:rsidP="008B2B98">
      <w:pPr>
        <w:jc w:val="both"/>
      </w:pPr>
    </w:p>
    <w:p w:rsidR="00737D82" w:rsidRDefault="00737D82" w:rsidP="008B2B98">
      <w:pPr>
        <w:jc w:val="both"/>
      </w:pPr>
    </w:p>
    <w:p w:rsidR="00DE542C" w:rsidRPr="00737D82" w:rsidRDefault="00DE542C" w:rsidP="008B2B98">
      <w:pPr>
        <w:jc w:val="both"/>
        <w:rPr>
          <w:i/>
        </w:rPr>
      </w:pPr>
      <w:r w:rsidRPr="00737D82">
        <w:rPr>
          <w:i/>
        </w:rPr>
        <w:t>Roman Więckowski</w:t>
      </w:r>
    </w:p>
    <w:p w:rsidR="00DE542C" w:rsidRPr="00737D82" w:rsidRDefault="00DE542C" w:rsidP="008B2B98">
      <w:pPr>
        <w:jc w:val="both"/>
        <w:rPr>
          <w:i/>
        </w:rPr>
      </w:pPr>
      <w:r w:rsidRPr="00737D82">
        <w:rPr>
          <w:i/>
        </w:rPr>
        <w:t xml:space="preserve">ul. Kasztanowa 17/5 </w:t>
      </w:r>
    </w:p>
    <w:p w:rsidR="00DE542C" w:rsidRPr="00737D82" w:rsidRDefault="00DE542C" w:rsidP="008B2B98">
      <w:pPr>
        <w:jc w:val="both"/>
        <w:rPr>
          <w:i/>
        </w:rPr>
      </w:pPr>
      <w:r w:rsidRPr="00737D82">
        <w:rPr>
          <w:i/>
        </w:rPr>
        <w:t>85-643 Bydgoszcz</w:t>
      </w:r>
    </w:p>
    <w:p w:rsidR="00DE542C" w:rsidRPr="00737D82" w:rsidRDefault="00DE542C" w:rsidP="00DE542C">
      <w:pPr>
        <w:jc w:val="center"/>
        <w:rPr>
          <w:i/>
        </w:rPr>
      </w:pPr>
      <w:r w:rsidRPr="00737D82">
        <w:rPr>
          <w:i/>
        </w:rPr>
        <w:t>Upoważnienie</w:t>
      </w:r>
    </w:p>
    <w:p w:rsidR="00DE542C" w:rsidRPr="00737D82" w:rsidRDefault="00DE542C" w:rsidP="00737D82">
      <w:pPr>
        <w:jc w:val="both"/>
        <w:rPr>
          <w:i/>
        </w:rPr>
      </w:pPr>
      <w:r w:rsidRPr="00737D82">
        <w:rPr>
          <w:i/>
        </w:rPr>
        <w:t>Ja, Roman Więckowski, ur. 22 stycznia 1973 r. w Kruszwicy, legitymujący się dowodem osobistym nr….., wydanym przez ….upoważniam moją żonę Alicję Więckowską, ur. 2</w:t>
      </w:r>
      <w:r w:rsidR="00737D82" w:rsidRPr="00737D82">
        <w:rPr>
          <w:i/>
        </w:rPr>
        <w:t xml:space="preserve"> marca 1974 w Bydgoszczy, legitymującą  się dowodem </w:t>
      </w:r>
      <w:r w:rsidR="00737D82" w:rsidRPr="00737D82">
        <w:rPr>
          <w:i/>
        </w:rPr>
        <w:lastRenderedPageBreak/>
        <w:t xml:space="preserve">osobistym nr…, wydanym przez…, </w:t>
      </w:r>
      <w:r w:rsidRPr="00737D82">
        <w:rPr>
          <w:i/>
        </w:rPr>
        <w:t xml:space="preserve"> do odbioru</w:t>
      </w:r>
      <w:r w:rsidR="00737D82" w:rsidRPr="00737D82">
        <w:rPr>
          <w:i/>
        </w:rPr>
        <w:t xml:space="preserve"> mojej nagrody w wysokości…, wygranej w konkursie na najlepszy slogan reklamowy. Nagrody nie mogę odebrać osobiście ze względu na dawno zaplanowany wyjazd służbowy.</w:t>
      </w:r>
    </w:p>
    <w:p w:rsidR="00737D82" w:rsidRDefault="00737D82" w:rsidP="00737D82">
      <w:pPr>
        <w:jc w:val="right"/>
        <w:rPr>
          <w:i/>
        </w:rPr>
      </w:pPr>
      <w:r w:rsidRPr="00737D82">
        <w:rPr>
          <w:i/>
        </w:rPr>
        <w:t>Roman Więckowski</w:t>
      </w:r>
    </w:p>
    <w:p w:rsidR="00737D82" w:rsidRDefault="00737D82" w:rsidP="00CB4017">
      <w:pPr>
        <w:jc w:val="both"/>
      </w:pPr>
      <w:r>
        <w:tab/>
        <w:t>Celem tekstów publicystycznych jest – zdaniem A. Awdiejewa i G. Habrajskiej – perswazja, „czyli wywieranie wpływu na odbiorców</w:t>
      </w:r>
      <w:r w:rsidR="00CB4017">
        <w:t>. Wpływ ten ma powodować zmiany lub umocnienie ich systemów przekonań i motywować ich zachowanie się w społeczeństwie”</w:t>
      </w:r>
      <w:r w:rsidR="00CB4017">
        <w:rPr>
          <w:rStyle w:val="Odwoanieprzypisudolnego"/>
        </w:rPr>
        <w:footnoteReference w:id="10"/>
      </w:r>
      <w:r w:rsidR="00CB4017">
        <w:t xml:space="preserve">. </w:t>
      </w:r>
      <w:r w:rsidR="00CB4017">
        <w:br/>
        <w:t>Wyznaczniki stylu publicystycznego to m.in.:</w:t>
      </w:r>
    </w:p>
    <w:p w:rsidR="00CB4017" w:rsidRPr="00CB4017" w:rsidRDefault="00CB4017" w:rsidP="00CB4017">
      <w:pPr>
        <w:jc w:val="both"/>
        <w:rPr>
          <w:i/>
        </w:rPr>
      </w:pPr>
      <w:r>
        <w:t xml:space="preserve">- ekspresywność </w:t>
      </w:r>
      <w:r w:rsidRPr="00CB4017">
        <w:rPr>
          <w:i/>
        </w:rPr>
        <w:t>słownictwa i frazeologii, np. Nie ma wolności bez solidarności!</w:t>
      </w:r>
    </w:p>
    <w:p w:rsidR="00CB4017" w:rsidRDefault="00CB4017" w:rsidP="00CB4017">
      <w:pPr>
        <w:jc w:val="both"/>
      </w:pPr>
      <w:r w:rsidRPr="00CB4017">
        <w:rPr>
          <w:i/>
        </w:rPr>
        <w:t xml:space="preserve">- </w:t>
      </w:r>
      <w:r w:rsidRPr="00CB4017">
        <w:t>szablony, np.</w:t>
      </w:r>
      <w:r w:rsidRPr="00CB4017">
        <w:rPr>
          <w:i/>
        </w:rPr>
        <w:t xml:space="preserve"> jasne</w:t>
      </w:r>
      <w:r>
        <w:t xml:space="preserve"> jak słońce,</w:t>
      </w:r>
    </w:p>
    <w:p w:rsidR="00CB4017" w:rsidRDefault="00CB4017" w:rsidP="00CB4017">
      <w:pPr>
        <w:jc w:val="both"/>
      </w:pPr>
      <w:r>
        <w:t xml:space="preserve">- systemowe środki perswazji, np. </w:t>
      </w:r>
      <w:r w:rsidRPr="00CB4017">
        <w:rPr>
          <w:i/>
        </w:rPr>
        <w:t>dobrze wiemy, że…</w:t>
      </w:r>
      <w:r>
        <w:t>,</w:t>
      </w:r>
    </w:p>
    <w:p w:rsidR="00CB4017" w:rsidRDefault="00CB4017" w:rsidP="00CB4017">
      <w:pPr>
        <w:jc w:val="both"/>
        <w:rPr>
          <w:i/>
        </w:rPr>
      </w:pPr>
      <w:r>
        <w:t xml:space="preserve">- kreacja nadawcy, odbiorcy i kontaktu między nimi, np. </w:t>
      </w:r>
      <w:r>
        <w:rPr>
          <w:i/>
        </w:rPr>
        <w:t xml:space="preserve">jako doświadczony publicysta mogę powiedzieć…, </w:t>
      </w:r>
      <w:r w:rsidR="00D83574">
        <w:rPr>
          <w:i/>
        </w:rPr>
        <w:t>doskonale to Państwo rozumiecie,</w:t>
      </w:r>
    </w:p>
    <w:p w:rsidR="00D83574" w:rsidRDefault="00D83574" w:rsidP="00CB4017">
      <w:pPr>
        <w:jc w:val="both"/>
        <w:rPr>
          <w:i/>
        </w:rPr>
      </w:pPr>
      <w:r>
        <w:t xml:space="preserve">- argumentacja aksjologiczna, np. </w:t>
      </w:r>
      <w:r>
        <w:rPr>
          <w:i/>
        </w:rPr>
        <w:t>rolnik zasługuje na uznanie,</w:t>
      </w:r>
    </w:p>
    <w:p w:rsidR="00D83574" w:rsidRDefault="00D83574" w:rsidP="00CB4017">
      <w:pPr>
        <w:jc w:val="both"/>
      </w:pPr>
      <w:r>
        <w:t xml:space="preserve">- wykorzystanie ironii. </w:t>
      </w:r>
    </w:p>
    <w:p w:rsidR="00D83574" w:rsidRDefault="00D83574" w:rsidP="00CB4017">
      <w:pPr>
        <w:jc w:val="both"/>
      </w:pPr>
      <w:r>
        <w:t>Oto przykład tekstu publicystycznego</w:t>
      </w:r>
      <w:r>
        <w:rPr>
          <w:rStyle w:val="Odwoanieprzypisudolnego"/>
        </w:rPr>
        <w:footnoteReference w:id="11"/>
      </w:r>
    </w:p>
    <w:p w:rsidR="00D83574" w:rsidRPr="00D83574" w:rsidRDefault="00D83574" w:rsidP="00CB4017">
      <w:pPr>
        <w:jc w:val="both"/>
      </w:pPr>
      <w:r w:rsidRPr="00D83574">
        <w:rPr>
          <w:i/>
        </w:rPr>
        <w:t>Po tym, co PiS nawygadywał, potrzebny jest wyraźny sygnał przyzwolenia wysłany przez dyrektorów szkół, że można Owsiaka wpuszczać do szkoły. Sygnał, że niefortunna instrukcja  wiceministra Zielińskiego ostrzegająca dyrektorów przed zgubnym wpływem pacyfistów, ekologów i innych wywrotowców, w szczególności nie obejmuje edukacji ratującej życie [..]</w:t>
      </w:r>
      <w:r>
        <w:t xml:space="preserve"> [Piotr Pacewicz, Nie </w:t>
      </w:r>
      <w:proofErr w:type="spellStart"/>
      <w:r>
        <w:t>róbta</w:t>
      </w:r>
      <w:proofErr w:type="spellEnd"/>
      <w:r>
        <w:t xml:space="preserve"> głupstw, Gazeta Wyborcza 24.03. 2006.,s. 2]</w:t>
      </w:r>
    </w:p>
    <w:p w:rsidR="00737D82" w:rsidRDefault="00D83574" w:rsidP="00737D82">
      <w:pPr>
        <w:jc w:val="both"/>
      </w:pPr>
      <w:r>
        <w:t>W tekście autor wykorzystał ironię</w:t>
      </w:r>
      <w:r w:rsidR="00237A37">
        <w:t xml:space="preserve">. </w:t>
      </w:r>
    </w:p>
    <w:p w:rsidR="00237A37" w:rsidRDefault="00237A37" w:rsidP="00737D82">
      <w:pPr>
        <w:jc w:val="both"/>
      </w:pPr>
      <w:r>
        <w:tab/>
        <w:t>„[…] podstawowym celem komunikacyjnym tekstów literackich jest przez obrazowe, kreatywne przedstawienie świata wywołanie przeżycia estetycznego u odbiorcy”</w:t>
      </w:r>
      <w:r>
        <w:rPr>
          <w:rStyle w:val="Odwoanieprzypisudolnego"/>
        </w:rPr>
        <w:footnoteReference w:id="12"/>
      </w:r>
      <w:r>
        <w:t xml:space="preserve">. Przywoływani autorzy zwracają uwagę na kilka elementów istotnych dla tekstów literackich: </w:t>
      </w:r>
    </w:p>
    <w:p w:rsidR="00237A37" w:rsidRDefault="00237A37" w:rsidP="00737D82">
      <w:pPr>
        <w:jc w:val="both"/>
      </w:pPr>
      <w:r>
        <w:lastRenderedPageBreak/>
        <w:t xml:space="preserve">- specyficzne obrazowanie świata, </w:t>
      </w:r>
    </w:p>
    <w:p w:rsidR="00237A37" w:rsidRDefault="00237A37" w:rsidP="00737D82">
      <w:pPr>
        <w:jc w:val="both"/>
      </w:pPr>
      <w:r>
        <w:t>- subiektywne przeżywanie tego świata,</w:t>
      </w:r>
    </w:p>
    <w:p w:rsidR="00237A37" w:rsidRDefault="00237A37" w:rsidP="00737D82">
      <w:pPr>
        <w:jc w:val="both"/>
      </w:pPr>
      <w:r>
        <w:t>- zdolność refleksji,</w:t>
      </w:r>
    </w:p>
    <w:p w:rsidR="00237A37" w:rsidRDefault="00237A37" w:rsidP="00737D82">
      <w:pPr>
        <w:jc w:val="both"/>
      </w:pPr>
      <w:r>
        <w:t>- swoista organizacja tekstu</w:t>
      </w:r>
      <w:r>
        <w:rPr>
          <w:rStyle w:val="Odwoanieprzypisudolnego"/>
        </w:rPr>
        <w:footnoteReference w:id="13"/>
      </w:r>
      <w:r>
        <w:t xml:space="preserve">. </w:t>
      </w:r>
    </w:p>
    <w:p w:rsidR="00237A37" w:rsidRDefault="00237A37" w:rsidP="00737D82">
      <w:pPr>
        <w:jc w:val="both"/>
      </w:pPr>
      <w:r>
        <w:t xml:space="preserve">O wyznacznikach literackości tekstów, trudno jest mówić, ponieważ są one niezwykle różnorodne. </w:t>
      </w:r>
      <w:r w:rsidR="00987CA1">
        <w:t>Autorowi tekstu literackiego wolno odstąpić od reguł np. gramatycznych, gdy tego wymaga cel wypowiedzi. Oto przykład</w:t>
      </w:r>
      <w:r w:rsidR="00987CA1">
        <w:rPr>
          <w:rStyle w:val="Odwoanieprzypisudolnego"/>
        </w:rPr>
        <w:footnoteReference w:id="14"/>
      </w:r>
      <w:r w:rsidR="00987CA1">
        <w:t>:</w:t>
      </w:r>
    </w:p>
    <w:p w:rsidR="00987CA1" w:rsidRPr="00987CA1" w:rsidRDefault="00987CA1" w:rsidP="00737D82">
      <w:pPr>
        <w:jc w:val="both"/>
        <w:rPr>
          <w:i/>
        </w:rPr>
      </w:pPr>
      <w:r>
        <w:rPr>
          <w:i/>
        </w:rPr>
        <w:t>w</w:t>
      </w:r>
      <w:r w:rsidRPr="00987CA1">
        <w:rPr>
          <w:i/>
        </w:rPr>
        <w:t>tedy, gdym biegło za aniołami</w:t>
      </w:r>
    </w:p>
    <w:p w:rsidR="00987CA1" w:rsidRPr="00987CA1" w:rsidRDefault="00987CA1" w:rsidP="00737D82">
      <w:pPr>
        <w:jc w:val="both"/>
        <w:rPr>
          <w:i/>
        </w:rPr>
      </w:pPr>
      <w:r>
        <w:rPr>
          <w:i/>
        </w:rPr>
        <w:t>a</w:t>
      </w:r>
      <w:r w:rsidRPr="00987CA1">
        <w:rPr>
          <w:i/>
        </w:rPr>
        <w:t xml:space="preserve"> ziemia jak zatrwożona matka</w:t>
      </w:r>
    </w:p>
    <w:p w:rsidR="00987CA1" w:rsidRPr="00987CA1" w:rsidRDefault="00987CA1" w:rsidP="00737D82">
      <w:pPr>
        <w:jc w:val="both"/>
        <w:rPr>
          <w:i/>
        </w:rPr>
      </w:pPr>
      <w:r>
        <w:rPr>
          <w:i/>
        </w:rPr>
        <w:t>p</w:t>
      </w:r>
      <w:r w:rsidRPr="00987CA1">
        <w:rPr>
          <w:i/>
        </w:rPr>
        <w:t>lątała moje korzenie</w:t>
      </w:r>
    </w:p>
    <w:p w:rsidR="00987CA1" w:rsidRPr="00987CA1" w:rsidRDefault="00987CA1" w:rsidP="00737D82">
      <w:pPr>
        <w:jc w:val="both"/>
        <w:rPr>
          <w:i/>
        </w:rPr>
      </w:pPr>
      <w:r>
        <w:rPr>
          <w:i/>
        </w:rPr>
        <w:t>i</w:t>
      </w:r>
      <w:r w:rsidRPr="00987CA1">
        <w:rPr>
          <w:i/>
        </w:rPr>
        <w:t xml:space="preserve"> zasypywała żwirem</w:t>
      </w:r>
    </w:p>
    <w:p w:rsidR="00987CA1" w:rsidRDefault="00987CA1" w:rsidP="00737D82">
      <w:pPr>
        <w:jc w:val="both"/>
      </w:pPr>
      <w:r>
        <w:t>[fragment wiersza Joanny Ślósarskiej Monolog leśnego drzewa]</w:t>
      </w:r>
    </w:p>
    <w:p w:rsidR="00987CA1" w:rsidRDefault="00943927" w:rsidP="00737D82">
      <w:pPr>
        <w:jc w:val="both"/>
      </w:pPr>
      <w:r>
        <w:t xml:space="preserve">W języku polskim nie ma formy rodzaju nijakiego i pierwszej i drugiej osobie, co nie przeszkodziło autorce w jej utworzeniu. W ten sposób autorka upersonifikowała drzewo. </w:t>
      </w:r>
    </w:p>
    <w:p w:rsidR="00943927" w:rsidRDefault="00943927" w:rsidP="00737D82">
      <w:pPr>
        <w:jc w:val="both"/>
      </w:pPr>
      <w:r>
        <w:tab/>
        <w:t xml:space="preserve">Mówiąc o różnych stylach funkcjonalnych, należałoby wskazać także style mieszane. Ograniczmy się do jednego przejawu takiego stylu. Pokażmy przykład wiadomości: </w:t>
      </w:r>
    </w:p>
    <w:p w:rsidR="00943927" w:rsidRPr="00EC262C" w:rsidRDefault="00943927" w:rsidP="00737D82">
      <w:pPr>
        <w:jc w:val="both"/>
        <w:rPr>
          <w:i/>
          <w:color w:val="000000"/>
          <w:shd w:val="clear" w:color="auto" w:fill="FFFFFF"/>
        </w:rPr>
      </w:pPr>
      <w:r w:rsidRPr="00EC262C">
        <w:rPr>
          <w:i/>
          <w:color w:val="000000"/>
          <w:shd w:val="clear" w:color="auto" w:fill="FFFFFF"/>
        </w:rPr>
        <w:t>Po połączeniu SLD i Wiosna mają przyjąć nazwę Nowa Lewica. - To początek konsolidacji nowych sił w polskiej polityce, to dopiero początek. W nowym roku przedstawimy z kolei kandydata lub kandydatkę na prezydenta RP. To wszystko przed nami - zapowiedział Biedroń, zapewniając, że partia już dzisiaj planuje kolejne działania. - Włodku! Przyjacielu! Zrobiliśmy to! - krzyknął w trakcie konferencji Biedroń, po czym uścisnął Czarzastego. Zebrani na sali członkowie partii zaczęli bić brawo, liderzy wymienili się następnie symbolicznie znaczkami swoich partii.</w:t>
      </w:r>
    </w:p>
    <w:p w:rsidR="00943927" w:rsidRDefault="00071131" w:rsidP="00737D82">
      <w:pPr>
        <w:jc w:val="both"/>
      </w:pPr>
      <w:hyperlink r:id="rId10" w:history="1">
        <w:r w:rsidR="00943927">
          <w:rPr>
            <w:rStyle w:val="Hipercze"/>
          </w:rPr>
          <w:t>https://wiadomosci.onet.pl/kraj/nowa-lewica-tak-po-polaczeniu-bedzie-nazywac-sie-wspolny-projekt-sld-i-wiosny/lm6g7tc</w:t>
        </w:r>
      </w:hyperlink>
      <w:r w:rsidR="00943927">
        <w:t xml:space="preserve"> [dostęp 14.12.2019]</w:t>
      </w:r>
    </w:p>
    <w:p w:rsidR="00737D82" w:rsidRDefault="00EC262C" w:rsidP="00737D82">
      <w:pPr>
        <w:jc w:val="both"/>
      </w:pPr>
      <w:r>
        <w:lastRenderedPageBreak/>
        <w:t xml:space="preserve">Umieszczenie tekstu wśród wiadomości wskazuje na ich informacyjny charakter. Cel informacyjny charakterystyczny jest dla stylu naukowego. Z drugiej strony nadawca dokonuje wyboru wiadomości, a to już jest perswazyjne. W przedstawionym fragmencie przedstawione są fakty, odbiorca może sam dokonać ich oceny. Cytowane są wypowiedzi zawierające oceny. Odbiorca może te oceny podzielać lub nie. Tekst informuje, a zarazem ma wpływ na swojego odbiorcę. Nosi cechy stylu naukowego i publicystycznego. </w:t>
      </w:r>
    </w:p>
    <w:p w:rsidR="00EC262C" w:rsidRPr="00EC262C" w:rsidRDefault="00EC262C" w:rsidP="00737D82">
      <w:pPr>
        <w:jc w:val="both"/>
        <w:rPr>
          <w:b/>
        </w:rPr>
      </w:pPr>
      <w:r>
        <w:br w:type="column"/>
      </w:r>
      <w:r w:rsidRPr="00EC262C">
        <w:rPr>
          <w:b/>
        </w:rPr>
        <w:lastRenderedPageBreak/>
        <w:t>Konwersatorium 11.</w:t>
      </w:r>
    </w:p>
    <w:p w:rsidR="00EC262C" w:rsidRPr="00EC262C" w:rsidRDefault="00EC262C" w:rsidP="00737D82">
      <w:pPr>
        <w:jc w:val="both"/>
        <w:rPr>
          <w:b/>
        </w:rPr>
      </w:pPr>
      <w:r w:rsidRPr="00EC262C">
        <w:rPr>
          <w:b/>
        </w:rPr>
        <w:t xml:space="preserve">Analiza wypowiedzi o różnych </w:t>
      </w:r>
      <w:proofErr w:type="spellStart"/>
      <w:r w:rsidRPr="00EC262C">
        <w:rPr>
          <w:b/>
        </w:rPr>
        <w:t>nacechowaniach</w:t>
      </w:r>
      <w:proofErr w:type="spellEnd"/>
    </w:p>
    <w:p w:rsidR="00EC262C" w:rsidRDefault="00EC262C" w:rsidP="00737D82">
      <w:pPr>
        <w:jc w:val="both"/>
      </w:pPr>
      <w:r>
        <w:t>Proszę określić cel następujący</w:t>
      </w:r>
      <w:r w:rsidR="00F26E9A">
        <w:t>ch wypowiedzi oraz</w:t>
      </w:r>
      <w:r>
        <w:t xml:space="preserve"> wskazać wykładniki ich stylu</w:t>
      </w:r>
    </w:p>
    <w:p w:rsidR="00EC262C" w:rsidRDefault="00EC262C" w:rsidP="00737D82">
      <w:pPr>
        <w:jc w:val="both"/>
      </w:pPr>
    </w:p>
    <w:p w:rsidR="007E61C7" w:rsidRDefault="00F26E9A" w:rsidP="00737D82">
      <w:pPr>
        <w:jc w:val="both"/>
      </w:pPr>
      <w:r>
        <w:t>I.</w:t>
      </w:r>
    </w:p>
    <w:p w:rsidR="007E61C7" w:rsidRDefault="007E61C7" w:rsidP="00737D82">
      <w:pPr>
        <w:jc w:val="both"/>
      </w:pPr>
    </w:p>
    <w:p w:rsidR="007E61C7" w:rsidRDefault="007E61C7" w:rsidP="00737D82">
      <w:pPr>
        <w:jc w:val="both"/>
      </w:pPr>
      <w:r>
        <w:rPr>
          <w:noProof/>
          <w:lang w:eastAsia="pl-PL"/>
        </w:rPr>
        <w:lastRenderedPageBreak/>
        <w:drawing>
          <wp:inline distT="0" distB="0" distL="0" distR="0">
            <wp:extent cx="5760720" cy="7719950"/>
            <wp:effectExtent l="0" t="0" r="0" b="0"/>
            <wp:docPr id="1" name="Obraz 1" descr="C:\Users\oem\Pictures\2019-12-15 urz\urz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Pictures\2019-12-15 urz\urz 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7719950"/>
                    </a:xfrm>
                    <a:prstGeom prst="rect">
                      <a:avLst/>
                    </a:prstGeom>
                    <a:noFill/>
                    <a:ln>
                      <a:noFill/>
                    </a:ln>
                  </pic:spPr>
                </pic:pic>
              </a:graphicData>
            </a:graphic>
          </wp:inline>
        </w:drawing>
      </w:r>
    </w:p>
    <w:p w:rsidR="007E61C7" w:rsidRDefault="007E61C7" w:rsidP="00D853DF">
      <w:pPr>
        <w:jc w:val="both"/>
        <w:rPr>
          <w:i/>
        </w:rPr>
      </w:pPr>
    </w:p>
    <w:p w:rsidR="007E61C7" w:rsidRDefault="007E61C7" w:rsidP="00D853DF">
      <w:pPr>
        <w:jc w:val="both"/>
        <w:rPr>
          <w:i/>
        </w:rPr>
      </w:pPr>
    </w:p>
    <w:p w:rsidR="007E61C7" w:rsidRDefault="007E61C7" w:rsidP="00D853DF">
      <w:pPr>
        <w:jc w:val="both"/>
        <w:rPr>
          <w:i/>
        </w:rPr>
      </w:pPr>
    </w:p>
    <w:p w:rsidR="007E61C7" w:rsidRDefault="007E61C7" w:rsidP="00D853DF">
      <w:pPr>
        <w:jc w:val="both"/>
      </w:pPr>
      <w:r>
        <w:lastRenderedPageBreak/>
        <w:t>Cel:</w:t>
      </w:r>
    </w:p>
    <w:p w:rsidR="007E61C7" w:rsidRDefault="007E61C7" w:rsidP="00D853DF">
      <w:pPr>
        <w:jc w:val="both"/>
      </w:pPr>
      <w:r>
        <w:t>spowodowanie, by instytucja  podjęła kroki prawne dla zarejestrowania stowarzyszenia</w:t>
      </w:r>
    </w:p>
    <w:p w:rsidR="007E61C7" w:rsidRDefault="007E61C7" w:rsidP="00D853DF">
      <w:pPr>
        <w:jc w:val="both"/>
      </w:pPr>
      <w:r>
        <w:t xml:space="preserve">Wyznaczniki: </w:t>
      </w:r>
    </w:p>
    <w:p w:rsidR="007E61C7" w:rsidRDefault="007E61C7" w:rsidP="00D853DF">
      <w:pPr>
        <w:jc w:val="both"/>
      </w:pPr>
      <w:r>
        <w:t>schemat przekazu,</w:t>
      </w:r>
    </w:p>
    <w:p w:rsidR="007E61C7" w:rsidRDefault="007E61C7" w:rsidP="00D853DF">
      <w:pPr>
        <w:jc w:val="both"/>
      </w:pPr>
      <w:r>
        <w:t>przytaczanie przepisów prawnych,</w:t>
      </w:r>
    </w:p>
    <w:p w:rsidR="007E61C7" w:rsidRDefault="007E61C7" w:rsidP="00D853DF">
      <w:pPr>
        <w:jc w:val="both"/>
      </w:pPr>
      <w:r>
        <w:t xml:space="preserve">wskazanie  danych pomagających w odnalezieniu dokumentu, </w:t>
      </w:r>
    </w:p>
    <w:p w:rsidR="007E61C7" w:rsidRDefault="007E61C7" w:rsidP="00D853DF">
      <w:pPr>
        <w:jc w:val="both"/>
      </w:pPr>
      <w:r>
        <w:t>pieczątka i podpis</w:t>
      </w:r>
    </w:p>
    <w:p w:rsidR="00F26E9A" w:rsidRDefault="00F26E9A" w:rsidP="00D853DF">
      <w:pPr>
        <w:jc w:val="both"/>
      </w:pPr>
      <w:r>
        <w:t>składnia (imiesłowowe równoważniki zdań</w:t>
      </w:r>
    </w:p>
    <w:p w:rsidR="00F26E9A" w:rsidRDefault="00F26E9A" w:rsidP="00D853DF">
      <w:pPr>
        <w:jc w:val="both"/>
      </w:pPr>
      <w:r>
        <w:t>terminologia: wniosek, wnosić, uzasadnienie</w:t>
      </w:r>
    </w:p>
    <w:p w:rsidR="00F26E9A" w:rsidRDefault="00F26E9A" w:rsidP="00D853DF">
      <w:pPr>
        <w:jc w:val="both"/>
      </w:pPr>
    </w:p>
    <w:p w:rsidR="007E61C7" w:rsidRDefault="00F26E9A" w:rsidP="00D853DF">
      <w:pPr>
        <w:jc w:val="both"/>
      </w:pPr>
      <w:r>
        <w:t>II.</w:t>
      </w:r>
    </w:p>
    <w:p w:rsidR="00F26E9A" w:rsidRPr="00AE4E4F" w:rsidRDefault="00F26E9A" w:rsidP="00F26E9A">
      <w:pPr>
        <w:numPr>
          <w:ilvl w:val="0"/>
          <w:numId w:val="1"/>
        </w:numPr>
        <w:spacing w:after="0" w:line="240" w:lineRule="auto"/>
        <w:jc w:val="both"/>
        <w:rPr>
          <w:i/>
        </w:rPr>
      </w:pPr>
      <w:r w:rsidRPr="00AE4E4F">
        <w:rPr>
          <w:i/>
        </w:rPr>
        <w:t>Strasznie dużo tych rzeczy. Gdzie ja to mam kłaść?</w:t>
      </w:r>
    </w:p>
    <w:p w:rsidR="00F26E9A" w:rsidRPr="00AE4E4F" w:rsidRDefault="00F26E9A" w:rsidP="00F26E9A">
      <w:pPr>
        <w:numPr>
          <w:ilvl w:val="0"/>
          <w:numId w:val="1"/>
        </w:numPr>
        <w:spacing w:after="0" w:line="240" w:lineRule="auto"/>
        <w:jc w:val="both"/>
        <w:rPr>
          <w:i/>
        </w:rPr>
      </w:pPr>
      <w:r w:rsidRPr="00AE4E4F">
        <w:rPr>
          <w:i/>
        </w:rPr>
        <w:t>To co, może wyrzucisz moje rzeczy, żeby upchnąć twoje wędkarskie dyrdymały?</w:t>
      </w:r>
    </w:p>
    <w:p w:rsidR="00F26E9A" w:rsidRPr="00AE4E4F" w:rsidRDefault="00F26E9A" w:rsidP="00F26E9A">
      <w:pPr>
        <w:numPr>
          <w:ilvl w:val="0"/>
          <w:numId w:val="2"/>
        </w:numPr>
        <w:spacing w:after="0" w:line="240" w:lineRule="auto"/>
        <w:jc w:val="both"/>
        <w:rPr>
          <w:i/>
        </w:rPr>
      </w:pPr>
      <w:r w:rsidRPr="00AE4E4F">
        <w:rPr>
          <w:i/>
        </w:rPr>
        <w:t>Przestań się mnie czepiać! Mogłabyś nie brać pięciu sukienek na trzy dni!</w:t>
      </w:r>
    </w:p>
    <w:p w:rsidR="00F26E9A" w:rsidRPr="00AE4E4F" w:rsidRDefault="00F26E9A" w:rsidP="00F26E9A">
      <w:pPr>
        <w:numPr>
          <w:ilvl w:val="0"/>
          <w:numId w:val="2"/>
        </w:numPr>
        <w:spacing w:after="0" w:line="240" w:lineRule="auto"/>
        <w:jc w:val="both"/>
        <w:rPr>
          <w:i/>
        </w:rPr>
      </w:pPr>
      <w:r w:rsidRPr="00AE4E4F">
        <w:rPr>
          <w:i/>
        </w:rPr>
        <w:t xml:space="preserve">Chcesz, żebym wyglądała jak kopciuszek przy żonie twojego kumpla? </w:t>
      </w:r>
    </w:p>
    <w:p w:rsidR="00F26E9A" w:rsidRPr="00AE4E4F" w:rsidRDefault="00F26E9A" w:rsidP="00F26E9A">
      <w:pPr>
        <w:numPr>
          <w:ilvl w:val="0"/>
          <w:numId w:val="3"/>
        </w:numPr>
        <w:spacing w:after="0" w:line="240" w:lineRule="auto"/>
        <w:jc w:val="both"/>
        <w:rPr>
          <w:i/>
        </w:rPr>
      </w:pPr>
      <w:r w:rsidRPr="00AE4E4F">
        <w:rPr>
          <w:i/>
        </w:rPr>
        <w:t xml:space="preserve">Daj spokój, lepiej pomóż mi to wszystko poukładać. Wyrzućmy to i spróbujmy jeszcze raz. Jak zaczniemy od tej szarej torby, to może będzie łatwiej.  </w:t>
      </w:r>
    </w:p>
    <w:p w:rsidR="00F26E9A" w:rsidRDefault="00F26E9A" w:rsidP="00D853DF">
      <w:pPr>
        <w:jc w:val="both"/>
      </w:pPr>
    </w:p>
    <w:p w:rsidR="00F26E9A" w:rsidRDefault="00F26E9A" w:rsidP="00D853DF">
      <w:pPr>
        <w:jc w:val="both"/>
      </w:pPr>
      <w:r>
        <w:t xml:space="preserve">Cel: </w:t>
      </w:r>
    </w:p>
    <w:p w:rsidR="00F26E9A" w:rsidRDefault="00F26E9A" w:rsidP="00D853DF">
      <w:pPr>
        <w:jc w:val="both"/>
      </w:pPr>
      <w:r>
        <w:t>Organizacja wspólnego działania</w:t>
      </w:r>
    </w:p>
    <w:p w:rsidR="00F26E9A" w:rsidRDefault="00F26E9A" w:rsidP="00D853DF">
      <w:pPr>
        <w:jc w:val="both"/>
      </w:pPr>
      <w:r>
        <w:t>Wyrażenie emocji</w:t>
      </w:r>
    </w:p>
    <w:p w:rsidR="00F26E9A" w:rsidRDefault="00F26E9A" w:rsidP="00D853DF">
      <w:pPr>
        <w:jc w:val="both"/>
      </w:pPr>
      <w:r>
        <w:t>Wyznaczniki</w:t>
      </w:r>
    </w:p>
    <w:p w:rsidR="00F26E9A" w:rsidRDefault="00F26E9A" w:rsidP="00D853DF">
      <w:pPr>
        <w:jc w:val="both"/>
      </w:pPr>
      <w:r>
        <w:t>Strasznie</w:t>
      </w:r>
    </w:p>
    <w:p w:rsidR="00F26E9A" w:rsidRDefault="00F26E9A" w:rsidP="00D853DF">
      <w:pPr>
        <w:jc w:val="both"/>
      </w:pPr>
      <w:r>
        <w:t>Dyrdymały</w:t>
      </w:r>
    </w:p>
    <w:p w:rsidR="00F26E9A" w:rsidRDefault="00F26E9A" w:rsidP="00D853DF">
      <w:pPr>
        <w:jc w:val="both"/>
      </w:pPr>
      <w:r>
        <w:t>Przestań się mnie czepiać</w:t>
      </w:r>
    </w:p>
    <w:p w:rsidR="00F26E9A" w:rsidRPr="007E61C7" w:rsidRDefault="00F26E9A" w:rsidP="00D853DF">
      <w:pPr>
        <w:jc w:val="both"/>
      </w:pPr>
      <w:r>
        <w:lastRenderedPageBreak/>
        <w:t xml:space="preserve">III. </w:t>
      </w:r>
    </w:p>
    <w:p w:rsidR="00D853DF" w:rsidRPr="00C31204" w:rsidRDefault="00D853DF" w:rsidP="00D853DF">
      <w:pPr>
        <w:jc w:val="both"/>
        <w:rPr>
          <w:i/>
        </w:rPr>
      </w:pPr>
      <w:r w:rsidRPr="00C31204">
        <w:rPr>
          <w:i/>
        </w:rPr>
        <w:t>Przeprowadzone w Polsce badania opinii publicznej pokazują od lat ciekawe zjawisko. Większość Polaków pytanych o ocenę  sytuacji w kraju odpowiada, że jest zła i że ich zdaniem będzie jeszcze gorsza. Jednocześnie z tych samych badań wynika, że osobistą sytuację większość z nas ocenia pozytywnie. Mało tego! Wierzymy, że jutro należy do nas!</w:t>
      </w:r>
    </w:p>
    <w:p w:rsidR="00D853DF" w:rsidRDefault="00D853DF" w:rsidP="00D853DF">
      <w:pPr>
        <w:jc w:val="both"/>
      </w:pPr>
      <w:r>
        <w:t>[</w:t>
      </w:r>
      <w:r w:rsidRPr="00B60042">
        <w:t>J. Gugała, Doskonale, a nawet gorzej. Świat we mgle absurdu. Warszawa 2012, s.13.</w:t>
      </w:r>
      <w:r>
        <w:t>]</w:t>
      </w:r>
    </w:p>
    <w:p w:rsidR="00C31204" w:rsidRDefault="00C31204" w:rsidP="00D853DF">
      <w:pPr>
        <w:jc w:val="both"/>
      </w:pPr>
    </w:p>
    <w:p w:rsidR="00F26E9A" w:rsidRDefault="00F26E9A" w:rsidP="00D853DF">
      <w:pPr>
        <w:jc w:val="both"/>
      </w:pPr>
      <w:r>
        <w:t xml:space="preserve">IV. </w:t>
      </w:r>
    </w:p>
    <w:p w:rsidR="009C6DB9" w:rsidRDefault="009C6DB9" w:rsidP="009C6DB9">
      <w:pPr>
        <w:jc w:val="both"/>
        <w:rPr>
          <w:i/>
        </w:rPr>
      </w:pPr>
      <w:r>
        <w:rPr>
          <w:i/>
        </w:rPr>
        <w:t>Pewien człowiek, który siedział obok mnie podczas długiego nocnego lotu przez ocean, opowiedział mi o lękach, które miewał nocą jako dziecko. Zwidywał mu się wciąż ten sam koszmar, a on krzyczał i w panice przywoływał rodziców.</w:t>
      </w:r>
    </w:p>
    <w:p w:rsidR="009C6DB9" w:rsidRDefault="009C6DB9" w:rsidP="009C6DB9">
      <w:pPr>
        <w:jc w:val="both"/>
      </w:pPr>
      <w:r>
        <w:t xml:space="preserve">(Olga Tokarczuk, Opowiadania </w:t>
      </w:r>
      <w:proofErr w:type="spellStart"/>
      <w:r>
        <w:t>bizarne</w:t>
      </w:r>
      <w:proofErr w:type="spellEnd"/>
      <w:r>
        <w:t>. Pasażer. Kraków 2019, s. 5)</w:t>
      </w:r>
    </w:p>
    <w:p w:rsidR="009C6DB9" w:rsidRDefault="009C6DB9" w:rsidP="00D853DF">
      <w:pPr>
        <w:jc w:val="both"/>
      </w:pPr>
    </w:p>
    <w:p w:rsidR="00C31204" w:rsidRDefault="009C6DB9" w:rsidP="00D853DF">
      <w:pPr>
        <w:jc w:val="both"/>
      </w:pPr>
      <w:r>
        <w:t>V.</w:t>
      </w:r>
    </w:p>
    <w:p w:rsidR="00C31204" w:rsidRPr="00966F32" w:rsidRDefault="00C31204" w:rsidP="00C31204">
      <w:pPr>
        <w:spacing w:line="240" w:lineRule="auto"/>
        <w:jc w:val="both"/>
        <w:rPr>
          <w:i/>
        </w:rPr>
      </w:pPr>
      <w:r w:rsidRPr="00966F32">
        <w:rPr>
          <w:i/>
        </w:rPr>
        <w:t xml:space="preserve">Proszę państwa, </w:t>
      </w:r>
      <w:r w:rsidRPr="00966F32">
        <w:rPr>
          <w:b/>
          <w:i/>
        </w:rPr>
        <w:t>ja z uwagą przysłuchiwałem się</w:t>
      </w:r>
      <w:r w:rsidRPr="00966F32">
        <w:rPr>
          <w:i/>
        </w:rPr>
        <w:t xml:space="preserve"> dyskusji na temat statutu agencji i kilka razy padła konkretna propozycja, aby podać kilka, że tak powiem, namacalnych, wręcz wymierzalnych czy opisywalnych przykładów tego typu działalności, ja przyznam się szczerze, że do tej pory tych przykładów... albo po prostu </w:t>
      </w:r>
      <w:r w:rsidRPr="00966F32">
        <w:rPr>
          <w:b/>
          <w:i/>
        </w:rPr>
        <w:t>niezbyt uważnie jednak przysłuchiwałem się</w:t>
      </w:r>
      <w:r w:rsidRPr="00966F32">
        <w:rPr>
          <w:i/>
        </w:rPr>
        <w:t xml:space="preserve"> tym wypowiedziom, nie dostrzegłem.</w:t>
      </w:r>
    </w:p>
    <w:p w:rsidR="00C31204" w:rsidRDefault="00F07CB2" w:rsidP="00D853DF">
      <w:pPr>
        <w:jc w:val="both"/>
      </w:pPr>
      <w:r>
        <w:t>[wypowiedź na posiedzeniu Rady Miejskiej]</w:t>
      </w:r>
    </w:p>
    <w:p w:rsidR="00EC262C" w:rsidRDefault="009C6DB9" w:rsidP="00737D82">
      <w:pPr>
        <w:jc w:val="both"/>
      </w:pPr>
      <w:r>
        <w:t xml:space="preserve">Które z przedstawionych tekstów należą do wypowiedzi publicznych? </w:t>
      </w:r>
    </w:p>
    <w:p w:rsidR="009C6DB9" w:rsidRDefault="00540778" w:rsidP="00737D82">
      <w:pPr>
        <w:jc w:val="both"/>
      </w:pPr>
      <w:r>
        <w:t xml:space="preserve">Zadanie: </w:t>
      </w:r>
    </w:p>
    <w:p w:rsidR="00540778" w:rsidRDefault="00540778" w:rsidP="00737D82">
      <w:pPr>
        <w:jc w:val="both"/>
      </w:pPr>
      <w:r>
        <w:t>Odnaleźć dowolny tekst i określić jego cechy stylistyczne</w:t>
      </w:r>
      <w:bookmarkStart w:id="0" w:name="_GoBack"/>
      <w:bookmarkEnd w:id="0"/>
    </w:p>
    <w:p w:rsidR="00540778" w:rsidRPr="008B2B98" w:rsidRDefault="00540778" w:rsidP="00737D82">
      <w:pPr>
        <w:jc w:val="both"/>
      </w:pPr>
    </w:p>
    <w:sectPr w:rsidR="00540778" w:rsidRPr="008B2B9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1131" w:rsidRDefault="00071131" w:rsidP="001F4CA7">
      <w:pPr>
        <w:spacing w:after="0" w:line="240" w:lineRule="auto"/>
      </w:pPr>
      <w:r>
        <w:separator/>
      </w:r>
    </w:p>
  </w:endnote>
  <w:endnote w:type="continuationSeparator" w:id="0">
    <w:p w:rsidR="00071131" w:rsidRDefault="00071131" w:rsidP="001F4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1131" w:rsidRDefault="00071131" w:rsidP="001F4CA7">
      <w:pPr>
        <w:spacing w:after="0" w:line="240" w:lineRule="auto"/>
      </w:pPr>
      <w:r>
        <w:separator/>
      </w:r>
    </w:p>
  </w:footnote>
  <w:footnote w:type="continuationSeparator" w:id="0">
    <w:p w:rsidR="00071131" w:rsidRDefault="00071131" w:rsidP="001F4CA7">
      <w:pPr>
        <w:spacing w:after="0" w:line="240" w:lineRule="auto"/>
      </w:pPr>
      <w:r>
        <w:continuationSeparator/>
      </w:r>
    </w:p>
  </w:footnote>
  <w:footnote w:id="1">
    <w:p w:rsidR="001F4CA7" w:rsidRPr="00CB4A4E" w:rsidRDefault="001F4CA7" w:rsidP="00CB4A4E">
      <w:pPr>
        <w:jc w:val="both"/>
        <w:rPr>
          <w:sz w:val="20"/>
          <w:szCs w:val="20"/>
        </w:rPr>
      </w:pPr>
      <w:r>
        <w:rPr>
          <w:rStyle w:val="Odwoanieprzypisudolnego"/>
        </w:rPr>
        <w:footnoteRef/>
      </w:r>
      <w:r>
        <w:t xml:space="preserve"> </w:t>
      </w:r>
      <w:r w:rsidR="00AC211F">
        <w:rPr>
          <w:sz w:val="20"/>
          <w:szCs w:val="20"/>
        </w:rPr>
        <w:t xml:space="preserve">Bogusław Dunaj [w artykule: Kategorie  oficjalności. </w:t>
      </w:r>
      <w:r w:rsidRPr="001F4CA7">
        <w:rPr>
          <w:sz w:val="20"/>
          <w:szCs w:val="20"/>
        </w:rPr>
        <w:t xml:space="preserve"> W: Współczesna polszczyzna mówiona w odmianie opracowanej  (oficjalnej). Pod red. Z. Kurzowej i W. Śliwińskiego. Kraków 1994, s. 23-31.</w:t>
      </w:r>
      <w:r w:rsidR="00AC211F">
        <w:rPr>
          <w:sz w:val="20"/>
          <w:szCs w:val="20"/>
        </w:rPr>
        <w:t>]</w:t>
      </w:r>
      <w:r w:rsidRPr="001F4CA7">
        <w:rPr>
          <w:sz w:val="20"/>
          <w:szCs w:val="20"/>
        </w:rPr>
        <w:t xml:space="preserve"> </w:t>
      </w:r>
      <w:r w:rsidR="00AC211F">
        <w:rPr>
          <w:sz w:val="20"/>
          <w:szCs w:val="20"/>
        </w:rPr>
        <w:t xml:space="preserve">wskazuje na dwa wykładniki oficjalności: instytucjonalność oraz  brak bliskości między nadawcą i odbiorcą przekazu. </w:t>
      </w:r>
    </w:p>
  </w:footnote>
  <w:footnote w:id="2">
    <w:p w:rsidR="00CB4A4E" w:rsidRPr="0039468C" w:rsidRDefault="00CB4A4E" w:rsidP="00CB4A4E">
      <w:pPr>
        <w:pStyle w:val="Tekstprzypisudolnego"/>
        <w:jc w:val="both"/>
      </w:pPr>
      <w:r w:rsidRPr="0039468C">
        <w:rPr>
          <w:rStyle w:val="Odwoanieprzypisudolnego"/>
        </w:rPr>
        <w:footnoteRef/>
      </w:r>
      <w:r w:rsidRPr="0039468C">
        <w:t xml:space="preserve"> Zwrócił na nią uwagę w dyskusji p. dr Konrad </w:t>
      </w:r>
      <w:proofErr w:type="spellStart"/>
      <w:r>
        <w:t>Tatarowski</w:t>
      </w:r>
      <w:proofErr w:type="spellEnd"/>
      <w:r>
        <w:t xml:space="preserve"> w czasie dyskusji nad moim referatem „Wartościowanie w dyskursie publicznym” w grudniu 2008 r. w Łodzi. </w:t>
      </w:r>
    </w:p>
  </w:footnote>
  <w:footnote w:id="3">
    <w:p w:rsidR="00CB4A4E" w:rsidRPr="00CB4A4E" w:rsidRDefault="00CB4A4E" w:rsidP="00CB4A4E">
      <w:pPr>
        <w:rPr>
          <w:sz w:val="20"/>
          <w:szCs w:val="20"/>
        </w:rPr>
      </w:pPr>
      <w:r>
        <w:rPr>
          <w:rStyle w:val="Odwoanieprzypisudolnego"/>
        </w:rPr>
        <w:footnoteRef/>
      </w:r>
      <w:r>
        <w:t xml:space="preserve"> </w:t>
      </w:r>
      <w:r>
        <w:rPr>
          <w:sz w:val="20"/>
          <w:szCs w:val="20"/>
        </w:rPr>
        <w:t xml:space="preserve">Elżbieta Laskowska, </w:t>
      </w:r>
      <w:r w:rsidRPr="00CB4A4E">
        <w:rPr>
          <w:sz w:val="20"/>
          <w:szCs w:val="20"/>
        </w:rPr>
        <w:t xml:space="preserve">Style dyskursu publicznego. W: Styl, dyskurs, media. Red. Barbara Bogołębska,  Monika </w:t>
      </w:r>
      <w:proofErr w:type="spellStart"/>
      <w:r w:rsidRPr="00CB4A4E">
        <w:rPr>
          <w:sz w:val="20"/>
          <w:szCs w:val="20"/>
        </w:rPr>
        <w:t>Worsowicz</w:t>
      </w:r>
      <w:proofErr w:type="spellEnd"/>
      <w:r w:rsidRPr="00CB4A4E">
        <w:rPr>
          <w:sz w:val="20"/>
          <w:szCs w:val="20"/>
        </w:rPr>
        <w:t>. Łódź 2010, s.179-186.</w:t>
      </w:r>
    </w:p>
  </w:footnote>
  <w:footnote w:id="4">
    <w:p w:rsidR="00153062" w:rsidRPr="00153062" w:rsidRDefault="00153062" w:rsidP="00153062">
      <w:pPr>
        <w:pStyle w:val="Tekstprzypisudolnego"/>
        <w:jc w:val="both"/>
        <w:rPr>
          <w:lang w:val="en-US"/>
        </w:rPr>
      </w:pPr>
      <w:r>
        <w:rPr>
          <w:rStyle w:val="Odwoanieprzypisudolnego"/>
        </w:rPr>
        <w:footnoteRef/>
      </w:r>
      <w:r>
        <w:t xml:space="preserve"> W gramatyce komunikacyjnej przyjmuje się istnienie trzech poziomów wypowiedzi. Poziom </w:t>
      </w:r>
      <w:proofErr w:type="spellStart"/>
      <w:r>
        <w:t>ideacyjny</w:t>
      </w:r>
      <w:proofErr w:type="spellEnd"/>
      <w:r>
        <w:t xml:space="preserve"> dotyczy treści, czyli odniesienia do rzeczywistości pozajęzykowej, ten poziom w moich rozważaniach związany jest z tematem wypowiedzi. Poziom interakcyjny wskazuje na cele wypowiedzi. Poziom organizacji wypowiedzi pozwala na wyrażanie tych samych treści o tych samych celach w różny sposób. Ten poziom obejmuje m.in. style i gatunki tekstu. Zob. Aleksy Awdiejew, Grażyna Habrajska, Wprowadzenie do gramatyki komunikacyjnej. </w:t>
      </w:r>
      <w:r w:rsidRPr="00153062">
        <w:rPr>
          <w:lang w:val="en-US"/>
        </w:rPr>
        <w:t xml:space="preserve">Tom 2. </w:t>
      </w:r>
      <w:proofErr w:type="spellStart"/>
      <w:r w:rsidRPr="00153062">
        <w:rPr>
          <w:lang w:val="en-US"/>
        </w:rPr>
        <w:t>Łask</w:t>
      </w:r>
      <w:proofErr w:type="spellEnd"/>
      <w:r w:rsidRPr="00153062">
        <w:rPr>
          <w:lang w:val="en-US"/>
        </w:rPr>
        <w:t xml:space="preserve"> 2006, s. 191.</w:t>
      </w:r>
    </w:p>
  </w:footnote>
  <w:footnote w:id="5">
    <w:p w:rsidR="00153062" w:rsidRPr="00153062" w:rsidRDefault="00153062" w:rsidP="00153062">
      <w:pPr>
        <w:pStyle w:val="Tekstprzypisudolnego"/>
        <w:jc w:val="both"/>
        <w:rPr>
          <w:lang w:val="en-US"/>
        </w:rPr>
      </w:pPr>
      <w:r>
        <w:rPr>
          <w:rStyle w:val="Odwoanieprzypisudolnego"/>
        </w:rPr>
        <w:footnoteRef/>
      </w:r>
      <w:r w:rsidRPr="00153062">
        <w:rPr>
          <w:lang w:val="en-US"/>
        </w:rPr>
        <w:t xml:space="preserve"> Op. cit.</w:t>
      </w:r>
      <w:r>
        <w:rPr>
          <w:lang w:val="en-US"/>
        </w:rPr>
        <w:t>, 191.</w:t>
      </w:r>
      <w:r w:rsidRPr="00153062">
        <w:rPr>
          <w:lang w:val="en-US"/>
        </w:rPr>
        <w:t xml:space="preserve"> </w:t>
      </w:r>
    </w:p>
  </w:footnote>
  <w:footnote w:id="6">
    <w:p w:rsidR="00153062" w:rsidRPr="00153062" w:rsidRDefault="00153062" w:rsidP="00153062">
      <w:pPr>
        <w:pStyle w:val="Tekstprzypisudolnego"/>
        <w:rPr>
          <w:lang w:val="en-US"/>
        </w:rPr>
      </w:pPr>
      <w:r>
        <w:rPr>
          <w:rStyle w:val="Odwoanieprzypisudolnego"/>
        </w:rPr>
        <w:footnoteRef/>
      </w:r>
      <w:r w:rsidRPr="00153062">
        <w:rPr>
          <w:lang w:val="en-US"/>
        </w:rPr>
        <w:t xml:space="preserve"> Op. cit., s.341. </w:t>
      </w:r>
    </w:p>
  </w:footnote>
  <w:footnote w:id="7">
    <w:p w:rsidR="009961BE" w:rsidRPr="00AC211F" w:rsidRDefault="009961BE">
      <w:pPr>
        <w:pStyle w:val="Tekstprzypisudolnego"/>
        <w:rPr>
          <w:lang w:val="en-US"/>
        </w:rPr>
      </w:pPr>
      <w:r>
        <w:rPr>
          <w:rStyle w:val="Odwoanieprzypisudolnego"/>
        </w:rPr>
        <w:footnoteRef/>
      </w:r>
      <w:r w:rsidRPr="00AC211F">
        <w:rPr>
          <w:lang w:val="en-US"/>
        </w:rPr>
        <w:t xml:space="preserve"> Op. cit., s. 191.</w:t>
      </w:r>
    </w:p>
  </w:footnote>
  <w:footnote w:id="8">
    <w:p w:rsidR="008B2B98" w:rsidRPr="00D853DF" w:rsidRDefault="008B2B98">
      <w:pPr>
        <w:pStyle w:val="Tekstprzypisudolnego"/>
        <w:rPr>
          <w:lang w:val="en-US"/>
        </w:rPr>
      </w:pPr>
      <w:r>
        <w:rPr>
          <w:rStyle w:val="Odwoanieprzypisudolnego"/>
        </w:rPr>
        <w:footnoteRef/>
      </w:r>
      <w:r w:rsidRPr="00D853DF">
        <w:rPr>
          <w:lang w:val="en-US"/>
        </w:rPr>
        <w:t xml:space="preserve"> Op. cit., s. 191-192. </w:t>
      </w:r>
    </w:p>
  </w:footnote>
  <w:footnote w:id="9">
    <w:p w:rsidR="000B6FED" w:rsidRPr="00D853DF" w:rsidRDefault="000B6FED">
      <w:pPr>
        <w:pStyle w:val="Tekstprzypisudolnego"/>
        <w:rPr>
          <w:lang w:val="en-US"/>
        </w:rPr>
      </w:pPr>
      <w:r>
        <w:rPr>
          <w:rStyle w:val="Odwoanieprzypisudolnego"/>
        </w:rPr>
        <w:footnoteRef/>
      </w:r>
      <w:r w:rsidRPr="00D853DF">
        <w:rPr>
          <w:lang w:val="en-US"/>
        </w:rPr>
        <w:t xml:space="preserve"> Op. cit., s.</w:t>
      </w:r>
      <w:r w:rsidR="00DE542C" w:rsidRPr="00D853DF">
        <w:rPr>
          <w:lang w:val="en-US"/>
        </w:rPr>
        <w:t xml:space="preserve">192. </w:t>
      </w:r>
    </w:p>
  </w:footnote>
  <w:footnote w:id="10">
    <w:p w:rsidR="00CB4017" w:rsidRDefault="00CB4017">
      <w:pPr>
        <w:pStyle w:val="Tekstprzypisudolnego"/>
      </w:pPr>
      <w:r>
        <w:rPr>
          <w:rStyle w:val="Odwoanieprzypisudolnego"/>
        </w:rPr>
        <w:footnoteRef/>
      </w:r>
      <w:r>
        <w:t xml:space="preserve"> Op. cit., s.192.</w:t>
      </w:r>
    </w:p>
  </w:footnote>
  <w:footnote w:id="11">
    <w:p w:rsidR="00D83574" w:rsidRDefault="00D83574">
      <w:pPr>
        <w:pStyle w:val="Tekstprzypisudolnego"/>
      </w:pPr>
      <w:r>
        <w:rPr>
          <w:rStyle w:val="Odwoanieprzypisudolnego"/>
        </w:rPr>
        <w:footnoteRef/>
      </w:r>
      <w:r>
        <w:t xml:space="preserve"> Omawiany przez A. Awdiejewa i G. Habrajską, Op. cit., s.273-274.</w:t>
      </w:r>
    </w:p>
  </w:footnote>
  <w:footnote w:id="12">
    <w:p w:rsidR="00237A37" w:rsidRPr="00D853DF" w:rsidRDefault="00237A37">
      <w:pPr>
        <w:pStyle w:val="Tekstprzypisudolnego"/>
        <w:rPr>
          <w:lang w:val="en-US"/>
        </w:rPr>
      </w:pPr>
      <w:r>
        <w:rPr>
          <w:rStyle w:val="Odwoanieprzypisudolnego"/>
        </w:rPr>
        <w:footnoteRef/>
      </w:r>
      <w:r w:rsidRPr="00D853DF">
        <w:rPr>
          <w:lang w:val="en-US"/>
        </w:rPr>
        <w:t xml:space="preserve"> Op. cit., s.193.</w:t>
      </w:r>
    </w:p>
  </w:footnote>
  <w:footnote w:id="13">
    <w:p w:rsidR="00237A37" w:rsidRPr="00D853DF" w:rsidRDefault="00237A37">
      <w:pPr>
        <w:pStyle w:val="Tekstprzypisudolnego"/>
        <w:rPr>
          <w:lang w:val="en-US"/>
        </w:rPr>
      </w:pPr>
      <w:r>
        <w:rPr>
          <w:rStyle w:val="Odwoanieprzypisudolnego"/>
        </w:rPr>
        <w:footnoteRef/>
      </w:r>
      <w:r w:rsidRPr="00D853DF">
        <w:rPr>
          <w:lang w:val="en-US"/>
        </w:rPr>
        <w:t xml:space="preserve"> Op. cit.,s 293-294. </w:t>
      </w:r>
    </w:p>
  </w:footnote>
  <w:footnote w:id="14">
    <w:p w:rsidR="00987CA1" w:rsidRDefault="00987CA1">
      <w:pPr>
        <w:pStyle w:val="Tekstprzypisudolnego"/>
      </w:pPr>
      <w:r>
        <w:rPr>
          <w:rStyle w:val="Odwoanieprzypisudolnego"/>
        </w:rPr>
        <w:footnoteRef/>
      </w:r>
      <w:r>
        <w:t xml:space="preserve"> Omawiany przez przywoływanych autorów, op. cit., s.331-332.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B6E97"/>
    <w:multiLevelType w:val="hybridMultilevel"/>
    <w:tmpl w:val="0354086E"/>
    <w:lvl w:ilvl="0" w:tplc="04150015">
      <w:start w:val="1"/>
      <w:numFmt w:val="upp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nsid w:val="43530724"/>
    <w:multiLevelType w:val="hybridMultilevel"/>
    <w:tmpl w:val="D9BEE74A"/>
    <w:lvl w:ilvl="0" w:tplc="04150015">
      <w:start w:val="1"/>
      <w:numFmt w:val="upp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nsid w:val="730B4212"/>
    <w:multiLevelType w:val="hybridMultilevel"/>
    <w:tmpl w:val="FB0229D0"/>
    <w:lvl w:ilvl="0" w:tplc="04150015">
      <w:start w:val="1"/>
      <w:numFmt w:val="upp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300"/>
    <w:rsid w:val="0006646E"/>
    <w:rsid w:val="00071131"/>
    <w:rsid w:val="000B6FED"/>
    <w:rsid w:val="00153062"/>
    <w:rsid w:val="001F4CA7"/>
    <w:rsid w:val="00237A37"/>
    <w:rsid w:val="00281203"/>
    <w:rsid w:val="00376986"/>
    <w:rsid w:val="00522586"/>
    <w:rsid w:val="00534F97"/>
    <w:rsid w:val="00540778"/>
    <w:rsid w:val="006969B7"/>
    <w:rsid w:val="006E5ADF"/>
    <w:rsid w:val="00737D82"/>
    <w:rsid w:val="007E61C7"/>
    <w:rsid w:val="008B2B98"/>
    <w:rsid w:val="00943927"/>
    <w:rsid w:val="00987CA1"/>
    <w:rsid w:val="009961BE"/>
    <w:rsid w:val="009B642D"/>
    <w:rsid w:val="009C6DB9"/>
    <w:rsid w:val="009F35BD"/>
    <w:rsid w:val="00AB79ED"/>
    <w:rsid w:val="00AC211F"/>
    <w:rsid w:val="00C00300"/>
    <w:rsid w:val="00C31204"/>
    <w:rsid w:val="00C334AA"/>
    <w:rsid w:val="00C87542"/>
    <w:rsid w:val="00CB4017"/>
    <w:rsid w:val="00CB4A4E"/>
    <w:rsid w:val="00D23648"/>
    <w:rsid w:val="00D372FE"/>
    <w:rsid w:val="00D83400"/>
    <w:rsid w:val="00D83574"/>
    <w:rsid w:val="00D853DF"/>
    <w:rsid w:val="00DE542C"/>
    <w:rsid w:val="00EC262C"/>
    <w:rsid w:val="00F07CB2"/>
    <w:rsid w:val="00F26E9A"/>
    <w:rsid w:val="00F41E8F"/>
    <w:rsid w:val="00F51D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kern w:val="36"/>
      <w:sz w:val="48"/>
      <w:szCs w:val="48"/>
      <w:lang w:eastAsia="pl-PL"/>
    </w:rPr>
  </w:style>
  <w:style w:type="table" w:styleId="Tabela-Siatka">
    <w:name w:val="Table Grid"/>
    <w:basedOn w:val="Standardowy"/>
    <w:rsid w:val="00D372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semiHidden/>
    <w:rsid w:val="001F4CA7"/>
    <w:pPr>
      <w:spacing w:after="0" w:line="240" w:lineRule="auto"/>
    </w:pPr>
    <w:rPr>
      <w:rFonts w:eastAsia="Times New Roman"/>
      <w:sz w:val="20"/>
      <w:szCs w:val="20"/>
      <w:lang w:eastAsia="pl-PL"/>
      <w14:ligatures w14:val="none"/>
    </w:rPr>
  </w:style>
  <w:style w:type="character" w:customStyle="1" w:styleId="TekstprzypisudolnegoZnak">
    <w:name w:val="Tekst przypisu dolnego Znak"/>
    <w:basedOn w:val="Domylnaczcionkaakapitu"/>
    <w:link w:val="Tekstprzypisudolnego"/>
    <w:semiHidden/>
    <w:rsid w:val="001F4CA7"/>
    <w:rPr>
      <w:rFonts w:eastAsia="Times New Roman"/>
      <w:sz w:val="20"/>
      <w:szCs w:val="20"/>
      <w:lang w:eastAsia="pl-PL"/>
      <w14:ligatures w14:val="none"/>
    </w:rPr>
  </w:style>
  <w:style w:type="character" w:styleId="Odwoanieprzypisudolnego">
    <w:name w:val="footnote reference"/>
    <w:basedOn w:val="Domylnaczcionkaakapitu"/>
    <w:semiHidden/>
    <w:rsid w:val="001F4CA7"/>
    <w:rPr>
      <w:vertAlign w:val="superscript"/>
    </w:rPr>
  </w:style>
  <w:style w:type="paragraph" w:styleId="Tekstpodstawowy">
    <w:name w:val="Body Text"/>
    <w:basedOn w:val="Normalny"/>
    <w:link w:val="TekstpodstawowyZnak"/>
    <w:rsid w:val="00153062"/>
    <w:pPr>
      <w:spacing w:after="0" w:line="240" w:lineRule="auto"/>
      <w:jc w:val="both"/>
    </w:pPr>
    <w:rPr>
      <w:rFonts w:eastAsia="Times New Roman"/>
      <w:sz w:val="20"/>
      <w:szCs w:val="20"/>
      <w:lang w:eastAsia="pl-PL"/>
      <w14:ligatures w14:val="none"/>
    </w:rPr>
  </w:style>
  <w:style w:type="character" w:customStyle="1" w:styleId="TekstpodstawowyZnak">
    <w:name w:val="Tekst podstawowy Znak"/>
    <w:basedOn w:val="Domylnaczcionkaakapitu"/>
    <w:link w:val="Tekstpodstawowy"/>
    <w:rsid w:val="00153062"/>
    <w:rPr>
      <w:rFonts w:eastAsia="Times New Roman"/>
      <w:sz w:val="20"/>
      <w:szCs w:val="20"/>
      <w:lang w:eastAsia="pl-PL"/>
      <w14:ligatures w14:val="none"/>
    </w:rPr>
  </w:style>
  <w:style w:type="paragraph" w:styleId="Tekstpodstawowy3">
    <w:name w:val="Body Text 3"/>
    <w:basedOn w:val="Normalny"/>
    <w:link w:val="Tekstpodstawowy3Znak"/>
    <w:rsid w:val="00153062"/>
    <w:pPr>
      <w:spacing w:after="120" w:line="240" w:lineRule="auto"/>
    </w:pPr>
    <w:rPr>
      <w:rFonts w:eastAsia="Times New Roman"/>
      <w:sz w:val="16"/>
      <w:szCs w:val="16"/>
      <w:lang w:eastAsia="pl-PL"/>
      <w14:ligatures w14:val="none"/>
    </w:rPr>
  </w:style>
  <w:style w:type="character" w:customStyle="1" w:styleId="Tekstpodstawowy3Znak">
    <w:name w:val="Tekst podstawowy 3 Znak"/>
    <w:basedOn w:val="Domylnaczcionkaakapitu"/>
    <w:link w:val="Tekstpodstawowy3"/>
    <w:rsid w:val="00153062"/>
    <w:rPr>
      <w:rFonts w:eastAsia="Times New Roman"/>
      <w:sz w:val="16"/>
      <w:szCs w:val="16"/>
      <w:lang w:eastAsia="pl-PL"/>
      <w14:ligatures w14:val="none"/>
    </w:rPr>
  </w:style>
  <w:style w:type="character" w:styleId="Hipercze">
    <w:name w:val="Hyperlink"/>
    <w:basedOn w:val="Domylnaczcionkaakapitu"/>
    <w:uiPriority w:val="99"/>
    <w:semiHidden/>
    <w:unhideWhenUsed/>
    <w:rsid w:val="000B6FE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kern w:val="36"/>
      <w:sz w:val="48"/>
      <w:szCs w:val="48"/>
      <w:lang w:eastAsia="pl-PL"/>
    </w:rPr>
  </w:style>
  <w:style w:type="table" w:styleId="Tabela-Siatka">
    <w:name w:val="Table Grid"/>
    <w:basedOn w:val="Standardowy"/>
    <w:rsid w:val="00D372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semiHidden/>
    <w:rsid w:val="001F4CA7"/>
    <w:pPr>
      <w:spacing w:after="0" w:line="240" w:lineRule="auto"/>
    </w:pPr>
    <w:rPr>
      <w:rFonts w:eastAsia="Times New Roman"/>
      <w:sz w:val="20"/>
      <w:szCs w:val="20"/>
      <w:lang w:eastAsia="pl-PL"/>
      <w14:ligatures w14:val="none"/>
    </w:rPr>
  </w:style>
  <w:style w:type="character" w:customStyle="1" w:styleId="TekstprzypisudolnegoZnak">
    <w:name w:val="Tekst przypisu dolnego Znak"/>
    <w:basedOn w:val="Domylnaczcionkaakapitu"/>
    <w:link w:val="Tekstprzypisudolnego"/>
    <w:semiHidden/>
    <w:rsid w:val="001F4CA7"/>
    <w:rPr>
      <w:rFonts w:eastAsia="Times New Roman"/>
      <w:sz w:val="20"/>
      <w:szCs w:val="20"/>
      <w:lang w:eastAsia="pl-PL"/>
      <w14:ligatures w14:val="none"/>
    </w:rPr>
  </w:style>
  <w:style w:type="character" w:styleId="Odwoanieprzypisudolnego">
    <w:name w:val="footnote reference"/>
    <w:basedOn w:val="Domylnaczcionkaakapitu"/>
    <w:semiHidden/>
    <w:rsid w:val="001F4CA7"/>
    <w:rPr>
      <w:vertAlign w:val="superscript"/>
    </w:rPr>
  </w:style>
  <w:style w:type="paragraph" w:styleId="Tekstpodstawowy">
    <w:name w:val="Body Text"/>
    <w:basedOn w:val="Normalny"/>
    <w:link w:val="TekstpodstawowyZnak"/>
    <w:rsid w:val="00153062"/>
    <w:pPr>
      <w:spacing w:after="0" w:line="240" w:lineRule="auto"/>
      <w:jc w:val="both"/>
    </w:pPr>
    <w:rPr>
      <w:rFonts w:eastAsia="Times New Roman"/>
      <w:sz w:val="20"/>
      <w:szCs w:val="20"/>
      <w:lang w:eastAsia="pl-PL"/>
      <w14:ligatures w14:val="none"/>
    </w:rPr>
  </w:style>
  <w:style w:type="character" w:customStyle="1" w:styleId="TekstpodstawowyZnak">
    <w:name w:val="Tekst podstawowy Znak"/>
    <w:basedOn w:val="Domylnaczcionkaakapitu"/>
    <w:link w:val="Tekstpodstawowy"/>
    <w:rsid w:val="00153062"/>
    <w:rPr>
      <w:rFonts w:eastAsia="Times New Roman"/>
      <w:sz w:val="20"/>
      <w:szCs w:val="20"/>
      <w:lang w:eastAsia="pl-PL"/>
      <w14:ligatures w14:val="none"/>
    </w:rPr>
  </w:style>
  <w:style w:type="paragraph" w:styleId="Tekstpodstawowy3">
    <w:name w:val="Body Text 3"/>
    <w:basedOn w:val="Normalny"/>
    <w:link w:val="Tekstpodstawowy3Znak"/>
    <w:rsid w:val="00153062"/>
    <w:pPr>
      <w:spacing w:after="120" w:line="240" w:lineRule="auto"/>
    </w:pPr>
    <w:rPr>
      <w:rFonts w:eastAsia="Times New Roman"/>
      <w:sz w:val="16"/>
      <w:szCs w:val="16"/>
      <w:lang w:eastAsia="pl-PL"/>
      <w14:ligatures w14:val="none"/>
    </w:rPr>
  </w:style>
  <w:style w:type="character" w:customStyle="1" w:styleId="Tekstpodstawowy3Znak">
    <w:name w:val="Tekst podstawowy 3 Znak"/>
    <w:basedOn w:val="Domylnaczcionkaakapitu"/>
    <w:link w:val="Tekstpodstawowy3"/>
    <w:rsid w:val="00153062"/>
    <w:rPr>
      <w:rFonts w:eastAsia="Times New Roman"/>
      <w:sz w:val="16"/>
      <w:szCs w:val="16"/>
      <w:lang w:eastAsia="pl-PL"/>
      <w14:ligatures w14:val="none"/>
    </w:rPr>
  </w:style>
  <w:style w:type="character" w:styleId="Hipercze">
    <w:name w:val="Hyperlink"/>
    <w:basedOn w:val="Domylnaczcionkaakapitu"/>
    <w:uiPriority w:val="99"/>
    <w:semiHidden/>
    <w:unhideWhenUsed/>
    <w:rsid w:val="000B6F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0" Type="http://schemas.openxmlformats.org/officeDocument/2006/relationships/hyperlink" Target="https://wiadomosci.onet.pl/kraj/nowa-lewica-tak-po-polaczeniu-bedzie-nazywac-sie-wspolny-projekt-sld-i-wiosny/lm6g7tc" TargetMode="External"/><Relationship Id="rId4" Type="http://schemas.microsoft.com/office/2007/relationships/stylesWithEffects" Target="stylesWithEffects.xml"/><Relationship Id="rId9" Type="http://schemas.openxmlformats.org/officeDocument/2006/relationships/hyperlink" Target="http://www.kwadryga.pl/upload/Dokumenty/Artykuly_naukowe/Gf_12_08_32-32.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CB6DC7-B398-4430-9F0F-3ADA42C40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1</Pages>
  <Words>2376</Words>
  <Characters>14256</Characters>
  <Application>Microsoft Office Word</Application>
  <DocSecurity>0</DocSecurity>
  <Lines>118</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11</cp:revision>
  <cp:lastPrinted>2019-12-15T15:34:00Z</cp:lastPrinted>
  <dcterms:created xsi:type="dcterms:W3CDTF">2019-12-12T11:03:00Z</dcterms:created>
  <dcterms:modified xsi:type="dcterms:W3CDTF">2019-12-15T15:35:00Z</dcterms:modified>
</cp:coreProperties>
</file>