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E23" w:rsidRPr="00153E23" w:rsidRDefault="00153E23" w:rsidP="00153E23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519964-N-2020 z dnia 2020-03-04 r.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budowlanych na potrzeby UKW w Bydgoszczy</w:t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53E2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budowlanych na potrzeby UKW w Bydgoszczy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UKW/DZP-281-D-27/2020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153E23" w:rsidRPr="00153E23" w:rsidRDefault="00153E23" w:rsidP="00153E23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materiałów budowlanych na potrzeby Uniwersytetu Kazimierza Wielkiego w Bydgoszczy. Szczegółowy opis dotyczący przedmiotu zamówienia został określony w załączniku nr 2 do SIWZ (Formularz cenowy) załączniku nr 4 (Opis przedmiotu zamówienia) oraz w projekcie Umowy przedstawionym w Rozdziale 3 SIWZ.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44111000-1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4 ustawy Pzp)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dotyczące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Załącznik nr 1 "Formularz ofertowy" oraz Załącznik nr 2 "Formularz cenowy"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1) Odpis z właściwego rejestru lub z centralnej ewidencji i informacji o działalności gospodarczej, jeżeli odrębne przepisy wymagają wpisu do rejestru lub ewidencji, w celu wykazania braku podstaw do wykluczenia w oparciu o art. 24 ust. 5 pkt 1 ustawy Pzp. 2) W celu sprawdzenia wymagań, opisanych w załączniku nr 2 (Formularz cenowy) do SIWZ, Zamawiający wymaga złożenia wraz z ofertą w formie papierowej: dla każdej pozycji karty technicznej/katalogowej z opisem (w języku polskim) zaoferowanych wyrobów, z których wynika zgodność oferowanego towaru z opisem zawartym w załączniku nr 2 do SIWZ, karty techniczne/katalogowe muszą być opisane, której pozycji dotyczą oraz „za zgodność z oryginałem”, a także podpisane przez osobę składającą ofertę.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będą zamieszczone dodatkowe informacje dotyczące dynamicznego systemu zakupów: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aukcji elektronicznej: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53E23" w:rsidRPr="00153E23" w:rsidTr="00153E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E23" w:rsidRPr="00153E23" w:rsidRDefault="00153E23" w:rsidP="00153E2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53E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E23" w:rsidRPr="00153E23" w:rsidRDefault="00153E23" w:rsidP="00153E2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53E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53E23" w:rsidRPr="00153E23" w:rsidTr="00153E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E23" w:rsidRPr="00153E23" w:rsidRDefault="00153E23" w:rsidP="00153E2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53E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E23" w:rsidRPr="00153E23" w:rsidRDefault="00153E23" w:rsidP="00153E2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53E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53E23" w:rsidRPr="00153E23" w:rsidTr="00153E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E23" w:rsidRPr="00153E23" w:rsidRDefault="00153E23" w:rsidP="00153E2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53E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E23" w:rsidRPr="00153E23" w:rsidRDefault="00153E23" w:rsidP="00153E2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53E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Zmiana umowy może nastąpić jedynie w formie pisemnego aneksu, jeżeli nie doprowadzi do naruszenia przepisów powszechnie obowiązujących. 2. Strony przewidują możliwość zmiany umowy, w szczególności w przypadku: 1) aktualizacji rozwiązań ze względu na postęp technologiczny (np. wycofanie z 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obrotu materiałów), zmiana nie może spowodować zmiany ceny wynikającej z oferty, na podstawie której był dokonany wybór Wykonawcy, 2) zmiany obowiązujących przepisów jeżeli, konieczne będzie dostosowanie treści umowy do aktualnego stanu prawnego, 3) zmiany stawki podatku od towarów i usług VAT, 4) wystąpienia zdarzeń siły wyższej rozumianej jako zdarzenie zewnętrzne niemożliwe do przewidzenia i niemożliwe do zapobieżenia, 5) w przypadkach określonych w art. 144 ustawy Prawo zamówień publicznych. 3. Inicjatorem zmian może być Zamawiający lub Wykonawca poprzez pisemne wystąpienie w okresie obowiązywania umowy zawierające opis proponowanych zmian i ich uzasadnienie.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53E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2020-03-12, godzina: 10:30,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</w:t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przypadku nieprzyznania środków, które miały być przeznaczone na sfinansowanie całości lub części zamówienia: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53E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53E23" w:rsidRPr="00153E23" w:rsidRDefault="00153E23" w:rsidP="00153E23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53E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53E23" w:rsidRPr="00153E23" w:rsidRDefault="00153E23" w:rsidP="00153E2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53E23" w:rsidRPr="00153E23" w:rsidRDefault="00153E23" w:rsidP="00153E23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53E23" w:rsidRPr="00153E23" w:rsidRDefault="00153E23" w:rsidP="00153E23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3E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153E23" w:rsidRPr="00153E23" w:rsidTr="00153E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153E23" w:rsidRPr="00153E23" w:rsidRDefault="00153E23" w:rsidP="00153E2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153E2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2pt;height:20.2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E23"/>
    <w:rsid w:val="00153E23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F6F30-0381-4228-8A52-466E55BD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54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34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764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9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62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0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05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72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60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8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8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95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03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4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28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39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39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59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74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63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4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76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5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9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4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34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2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5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9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2649</Words>
  <Characters>15894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2020-03-04T12:47:00Z</dcterms:created>
  <dcterms:modified xsi:type="dcterms:W3CDTF">2020-03-04T12:47:00Z</dcterms:modified>
</cp:coreProperties>
</file>