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</w:t>
      </w:r>
      <w:bookmarkStart w:id="0" w:name="_GoBack"/>
      <w:bookmarkEnd w:id="0"/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głoszenie nr 540073690-N-2020 z dnia 29-04-2020 r.</w:t>
      </w:r>
    </w:p>
    <w:p w:rsidR="002C3861" w:rsidRPr="002C3861" w:rsidRDefault="002C3861" w:rsidP="002C3861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2C3861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534709-N-2020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27/04/2020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2C3861" w:rsidRPr="002C3861" w:rsidRDefault="002C3861" w:rsidP="002C3861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2020-05-05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C38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2C3861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2020-05-07</w:t>
      </w:r>
    </w:p>
    <w:p w:rsidR="00630CB7" w:rsidRPr="002C3861" w:rsidRDefault="00630CB7" w:rsidP="002C3861"/>
    <w:sectPr w:rsidR="00630CB7" w:rsidRPr="002C38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861"/>
    <w:rsid w:val="002C3861"/>
    <w:rsid w:val="0063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B62FE"/>
  <w15:chartTrackingRefBased/>
  <w15:docId w15:val="{F157805A-05C8-417A-B8C5-FF119875E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202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2020-04-29T11:20:00Z</dcterms:created>
  <dcterms:modified xsi:type="dcterms:W3CDTF">2020-04-29T11:21:00Z</dcterms:modified>
</cp:coreProperties>
</file>