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52E" w:rsidRDefault="00C6352E" w:rsidP="00C6352E">
      <w:pPr>
        <w:pStyle w:val="Akapitzlist"/>
        <w:ind w:left="432"/>
        <w:jc w:val="center"/>
        <w:rPr>
          <w:rFonts w:ascii="Century Gothic" w:hAnsi="Century Gothic" w:cs="Mangal"/>
          <w:b/>
          <w:kern w:val="2"/>
          <w:sz w:val="20"/>
          <w:szCs w:val="20"/>
          <w:lang w:eastAsia="hi-IN" w:bidi="hi-IN"/>
        </w:rPr>
      </w:pPr>
    </w:p>
    <w:p w:rsidR="00C6352E" w:rsidRDefault="00C6352E" w:rsidP="00C6352E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b/>
          <w:bCs/>
          <w:szCs w:val="21"/>
        </w:rPr>
      </w:pPr>
      <w:r>
        <w:br/>
      </w:r>
      <w:r>
        <w:rPr>
          <w:noProof/>
          <w:szCs w:val="21"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t>UNIWERSYTET KAZIMIERZA WIELKIEGO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contextualSpacing/>
        <w:jc w:val="center"/>
        <w:rPr>
          <w:b/>
          <w:bCs/>
        </w:rPr>
      </w:pPr>
      <w:r>
        <w:rPr>
          <w:b/>
          <w:bCs/>
        </w:rPr>
        <w:t>W BYDGOSZCZY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contextualSpacing/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szCs w:val="21"/>
        </w:rPr>
      </w:pPr>
      <w:r>
        <w:t>NIP 5542647568 REGON 340057695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</w:pPr>
      <w: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1F5B32">
        <w:rPr>
          <w:rFonts w:ascii="Century Gothic" w:hAnsi="Century Gothic"/>
          <w:sz w:val="20"/>
          <w:szCs w:val="20"/>
        </w:rPr>
        <w:t>-281-D-1</w:t>
      </w:r>
      <w:r w:rsidR="006219D8">
        <w:rPr>
          <w:rFonts w:ascii="Century Gothic" w:hAnsi="Century Gothic"/>
          <w:sz w:val="20"/>
          <w:szCs w:val="20"/>
        </w:rPr>
        <w:t>41</w:t>
      </w:r>
      <w:r w:rsidR="00C6352E">
        <w:rPr>
          <w:rFonts w:ascii="Century Gothic" w:hAnsi="Century Gothic"/>
          <w:sz w:val="20"/>
          <w:szCs w:val="20"/>
        </w:rPr>
        <w:t>/2020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</w:t>
      </w:r>
      <w:r w:rsidR="00054E2B">
        <w:rPr>
          <w:rFonts w:ascii="Century Gothic" w:hAnsi="Century Gothic"/>
          <w:sz w:val="20"/>
          <w:szCs w:val="20"/>
        </w:rPr>
        <w:t xml:space="preserve">Bydgoszcz, dn. </w:t>
      </w:r>
      <w:r w:rsidR="006219D8">
        <w:rPr>
          <w:rFonts w:ascii="Century Gothic" w:hAnsi="Century Gothic"/>
          <w:sz w:val="20"/>
          <w:szCs w:val="20"/>
        </w:rPr>
        <w:t>09</w:t>
      </w:r>
      <w:r w:rsidR="001F5B32">
        <w:rPr>
          <w:rFonts w:ascii="Century Gothic" w:hAnsi="Century Gothic"/>
          <w:sz w:val="20"/>
          <w:szCs w:val="20"/>
        </w:rPr>
        <w:t>.1</w:t>
      </w:r>
      <w:r w:rsidR="00BD1E66">
        <w:rPr>
          <w:rFonts w:ascii="Century Gothic" w:hAnsi="Century Gothic"/>
          <w:sz w:val="20"/>
          <w:szCs w:val="20"/>
        </w:rPr>
        <w:t>1</w:t>
      </w:r>
      <w:r w:rsidR="00C6352E">
        <w:rPr>
          <w:rFonts w:ascii="Century Gothic" w:hAnsi="Century Gothic"/>
          <w:sz w:val="20"/>
          <w:szCs w:val="20"/>
        </w:rPr>
        <w:t>.2020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1F5B32" w:rsidRDefault="00284BEC" w:rsidP="006219D8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1F5B32" w:rsidRP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6219D8" w:rsidRPr="006219D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pełnego systemu sieci bezprzewodowej (</w:t>
      </w:r>
      <w:proofErr w:type="spellStart"/>
      <w:r w:rsidR="006219D8" w:rsidRPr="006219D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WiFi</w:t>
      </w:r>
      <w:proofErr w:type="spellEnd"/>
      <w:r w:rsidR="006219D8" w:rsidRPr="006219D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)</w:t>
      </w:r>
    </w:p>
    <w:p w:rsidR="006219D8" w:rsidRPr="006219D8" w:rsidRDefault="006219D8" w:rsidP="006219D8"/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Pr="001F5B32" w:rsidRDefault="00284BEC" w:rsidP="00E12A99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</w:t>
      </w:r>
      <w:r w:rsidR="00C6352E">
        <w:rPr>
          <w:rFonts w:ascii="Century Gothic" w:hAnsi="Century Gothic" w:cs="Century Gothic"/>
          <w:b w:val="0"/>
          <w:sz w:val="20"/>
          <w:szCs w:val="20"/>
        </w:rPr>
        <w:t>ówień publicznych (Dz. U. z 2019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r. poz. </w:t>
      </w:r>
      <w:r w:rsidR="00C6352E">
        <w:rPr>
          <w:rFonts w:ascii="Century Gothic" w:hAnsi="Century Gothic" w:cs="Century Gothic"/>
          <w:b w:val="0"/>
          <w:sz w:val="20"/>
          <w:szCs w:val="20"/>
        </w:rPr>
        <w:t>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6219D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6219D8" w:rsidRP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6219D8" w:rsidRPr="006219D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pełnego systemu sieci bezprzewodowej (</w:t>
      </w:r>
      <w:proofErr w:type="spellStart"/>
      <w:r w:rsidR="006219D8" w:rsidRPr="006219D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WiFi</w:t>
      </w:r>
      <w:proofErr w:type="spellEnd"/>
      <w:r w:rsidR="006219D8" w:rsidRPr="006219D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)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283B32" w:rsidRDefault="00283B32" w:rsidP="00E12A99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C6352E" w:rsidRPr="00C6352E" w:rsidRDefault="00C6352E" w:rsidP="00E45E0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1</w:t>
      </w:r>
    </w:p>
    <w:p w:rsidR="006219D8" w:rsidRDefault="006219D8" w:rsidP="00E45E02">
      <w:pPr>
        <w:spacing w:line="360" w:lineRule="auto"/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 w:rsidRPr="006219D8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Proszę o potwierdzenie, czy Zamawiający montaż wszystkich dostarczonych w ramach postępowania urządzeń wykona we własnym zakresie, czy oczekuje tego od Wykonawcy? W szczególności chodzi o doprowadzenie okablowania i fizyczny montaż wszystkich urządzeń objętych postępowaniem.</w:t>
      </w:r>
    </w:p>
    <w:p w:rsidR="00C6352E" w:rsidRPr="00C6352E" w:rsidRDefault="003B1555" w:rsidP="00E45E02">
      <w:pPr>
        <w:spacing w:line="360" w:lineRule="auto"/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Odp. </w:t>
      </w:r>
      <w:r w:rsidR="00283B32" w:rsidRPr="00283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Zamawiający wykona montaż we </w:t>
      </w:r>
      <w:r w:rsidR="00E45E0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własnym </w:t>
      </w:r>
      <w:r w:rsidR="00283B32" w:rsidRPr="00283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zakresie. Doprowadzenie</w:t>
      </w:r>
      <w:r w:rsidR="00283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="00283B32" w:rsidRPr="00283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okablowania i fizyczny montaż wszystkich urządzeń nie jest częścią</w:t>
      </w:r>
      <w:r w:rsidR="00283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="00283B32" w:rsidRPr="00283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niniejszego postępowania.</w:t>
      </w:r>
    </w:p>
    <w:p w:rsidR="00283B32" w:rsidRDefault="00283B32" w:rsidP="00E45E0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6219D8" w:rsidRPr="006219D8" w:rsidRDefault="00C6352E" w:rsidP="00E45E0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2</w:t>
      </w:r>
      <w:r w:rsidR="006219D8" w:rsidRPr="006219D8">
        <w:rPr>
          <w:rFonts w:ascii="Century Gothic" w:hAnsi="Century Gothic" w:cs="Century Gothic"/>
          <w:sz w:val="20"/>
          <w:szCs w:val="20"/>
        </w:rPr>
        <w:t xml:space="preserve"> (SIWZ Roz. 4, Poz. 1, Lp. 3)</w:t>
      </w:r>
    </w:p>
    <w:p w:rsidR="006219D8" w:rsidRDefault="006219D8" w:rsidP="00E45E0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219D8">
        <w:rPr>
          <w:rFonts w:ascii="Century Gothic" w:hAnsi="Century Gothic" w:cs="Century Gothic"/>
          <w:sz w:val="20"/>
          <w:szCs w:val="20"/>
        </w:rPr>
        <w:t xml:space="preserve">Z uwagi na gwałtowny wzrost możliwości obliczeniowych procesorów wykorzystywanych przez hakerów do łamania zabezpieczeń sieci informatycznych, dotychczas stosowane klucze szyfrujące o długości 128 bitów mogą się już wkrótce okazać niewystarczające do ochrony ruchu sieciowego. Mając na względzie zwiększenie poziomu bezpieczeństwa sieciowego UKW w Bydgoszczy proponujemy zwiększenie minimalnej wymaganej długości klucza szyfrującego stosowanego w mechanizmie </w:t>
      </w:r>
      <w:proofErr w:type="spellStart"/>
      <w:r w:rsidRPr="006219D8">
        <w:rPr>
          <w:rFonts w:ascii="Century Gothic" w:hAnsi="Century Gothic" w:cs="Century Gothic"/>
          <w:sz w:val="20"/>
          <w:szCs w:val="20"/>
        </w:rPr>
        <w:t>MACSec</w:t>
      </w:r>
      <w:proofErr w:type="spellEnd"/>
      <w:r w:rsidRPr="006219D8">
        <w:rPr>
          <w:rFonts w:ascii="Century Gothic" w:hAnsi="Century Gothic" w:cs="Century Gothic"/>
          <w:sz w:val="20"/>
          <w:szCs w:val="20"/>
        </w:rPr>
        <w:t xml:space="preserve"> do 256 bitów. </w:t>
      </w:r>
    </w:p>
    <w:p w:rsidR="006219D8" w:rsidRPr="006219D8" w:rsidRDefault="00942E96" w:rsidP="00E45E0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Odp. </w:t>
      </w:r>
      <w:r w:rsidR="00283B32">
        <w:rPr>
          <w:rFonts w:ascii="Century Gothic" w:hAnsi="Century Gothic" w:cs="Century Gothic"/>
          <w:sz w:val="20"/>
          <w:szCs w:val="20"/>
        </w:rPr>
        <w:t>Zamawiający zmieni</w:t>
      </w:r>
      <w:r w:rsidR="00283B32" w:rsidRPr="00283B32">
        <w:rPr>
          <w:rFonts w:ascii="Century Gothic" w:hAnsi="Century Gothic" w:cs="Century Gothic"/>
          <w:sz w:val="20"/>
          <w:szCs w:val="20"/>
        </w:rPr>
        <w:t xml:space="preserve"> treść SIWZ w przedmiotowym punkcie, na:</w:t>
      </w:r>
      <w:r w:rsidR="00283B32" w:rsidRPr="00283B32">
        <w:rPr>
          <w:rFonts w:ascii="Century Gothic" w:hAnsi="Century Gothic" w:cs="Century Gothic"/>
          <w:sz w:val="20"/>
          <w:szCs w:val="20"/>
        </w:rPr>
        <w:br/>
        <w:t>Urządzenie musi posiadać możliwość szyfrowania ruchu zgodnie z IEEE</w:t>
      </w:r>
      <w:r w:rsidR="00283B32">
        <w:rPr>
          <w:rFonts w:ascii="Century Gothic" w:hAnsi="Century Gothic" w:cs="Century Gothic"/>
          <w:sz w:val="20"/>
          <w:szCs w:val="20"/>
        </w:rPr>
        <w:t xml:space="preserve"> </w:t>
      </w:r>
      <w:r w:rsidR="00283B32" w:rsidRPr="00283B32">
        <w:rPr>
          <w:rFonts w:ascii="Century Gothic" w:hAnsi="Century Gothic" w:cs="Century Gothic"/>
          <w:sz w:val="20"/>
          <w:szCs w:val="20"/>
        </w:rPr>
        <w:t>802.1AE (</w:t>
      </w:r>
      <w:proofErr w:type="spellStart"/>
      <w:r w:rsidR="00283B32" w:rsidRPr="00283B32">
        <w:rPr>
          <w:rFonts w:ascii="Century Gothic" w:hAnsi="Century Gothic" w:cs="Century Gothic"/>
          <w:sz w:val="20"/>
          <w:szCs w:val="20"/>
        </w:rPr>
        <w:t>MACSec</w:t>
      </w:r>
      <w:proofErr w:type="spellEnd"/>
      <w:r w:rsidR="00283B32" w:rsidRPr="00283B32">
        <w:rPr>
          <w:rFonts w:ascii="Century Gothic" w:hAnsi="Century Gothic" w:cs="Century Gothic"/>
          <w:sz w:val="20"/>
          <w:szCs w:val="20"/>
        </w:rPr>
        <w:t>) dla wszystkich portów przełącznika kluczami o</w:t>
      </w:r>
      <w:r w:rsidR="00283B32">
        <w:rPr>
          <w:rFonts w:ascii="Century Gothic" w:hAnsi="Century Gothic" w:cs="Century Gothic"/>
          <w:sz w:val="20"/>
          <w:szCs w:val="20"/>
        </w:rPr>
        <w:t xml:space="preserve"> </w:t>
      </w:r>
      <w:r w:rsidR="00283B32" w:rsidRPr="00283B32">
        <w:rPr>
          <w:rFonts w:ascii="Century Gothic" w:hAnsi="Century Gothic" w:cs="Century Gothic"/>
          <w:sz w:val="20"/>
          <w:szCs w:val="20"/>
        </w:rPr>
        <w:t>długości min. 128-bitów.</w:t>
      </w:r>
    </w:p>
    <w:p w:rsidR="006219D8" w:rsidRPr="006219D8" w:rsidRDefault="006219D8" w:rsidP="00E45E0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219D8">
        <w:rPr>
          <w:rFonts w:ascii="Century Gothic" w:hAnsi="Century Gothic" w:cs="Century Gothic"/>
          <w:bCs/>
          <w:sz w:val="20"/>
          <w:szCs w:val="20"/>
        </w:rPr>
        <w:t>Pytanie nr 3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6219D8">
        <w:rPr>
          <w:rFonts w:ascii="Century Gothic" w:hAnsi="Century Gothic" w:cs="Century Gothic"/>
          <w:sz w:val="20"/>
          <w:szCs w:val="20"/>
        </w:rPr>
        <w:t xml:space="preserve">(SIWZ Roz. 1, Pkt. 6. </w:t>
      </w:r>
      <w:proofErr w:type="spellStart"/>
      <w:r w:rsidRPr="006219D8">
        <w:rPr>
          <w:rFonts w:ascii="Century Gothic" w:hAnsi="Century Gothic" w:cs="Century Gothic"/>
          <w:sz w:val="20"/>
          <w:szCs w:val="20"/>
        </w:rPr>
        <w:t>Ppkt</w:t>
      </w:r>
      <w:proofErr w:type="spellEnd"/>
      <w:r w:rsidRPr="006219D8">
        <w:rPr>
          <w:rFonts w:ascii="Century Gothic" w:hAnsi="Century Gothic" w:cs="Century Gothic"/>
          <w:sz w:val="20"/>
          <w:szCs w:val="20"/>
        </w:rPr>
        <w:t xml:space="preserve"> 1)</w:t>
      </w:r>
    </w:p>
    <w:p w:rsidR="006219D8" w:rsidRPr="006219D8" w:rsidRDefault="006219D8" w:rsidP="00E45E0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219D8">
        <w:rPr>
          <w:rFonts w:ascii="Century Gothic" w:hAnsi="Century Gothic" w:cs="Century Gothic"/>
          <w:sz w:val="20"/>
          <w:szCs w:val="20"/>
        </w:rPr>
        <w:lastRenderedPageBreak/>
        <w:t>Wybuch oraz dynamiczny rozwój pandemii COVID-19 zakłócił i znacząco wydłużył łańcuchy dostaw, jest to szczególnie odczuwalne w branży IT. Termin dostawy sprzętu od daty zamówienia u producenta wynosi na dzień dzisiejszy minimum 60 dni.</w:t>
      </w:r>
    </w:p>
    <w:p w:rsidR="006219D8" w:rsidRPr="006219D8" w:rsidRDefault="006219D8" w:rsidP="00E45E0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219D8">
        <w:rPr>
          <w:rFonts w:ascii="Century Gothic" w:hAnsi="Century Gothic" w:cs="Century Gothic"/>
          <w:sz w:val="20"/>
          <w:szCs w:val="20"/>
        </w:rPr>
        <w:t>Czy z uwagi na powyższe Zamawiający wyrazi zgodę na wydłużenie terminu dostawy sprzętu do 60 dni od dnia zawarcia umowy?</w:t>
      </w:r>
    </w:p>
    <w:p w:rsidR="0092508B" w:rsidRDefault="006219D8" w:rsidP="00E45E0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</w:t>
      </w:r>
      <w:r w:rsidR="00283B32">
        <w:rPr>
          <w:rFonts w:ascii="Century Gothic" w:hAnsi="Century Gothic"/>
          <w:sz w:val="20"/>
          <w:szCs w:val="20"/>
        </w:rPr>
        <w:t xml:space="preserve"> </w:t>
      </w:r>
      <w:r w:rsidR="00283B32" w:rsidRPr="00283B32">
        <w:rPr>
          <w:rFonts w:ascii="Century Gothic" w:hAnsi="Century Gothic"/>
          <w:sz w:val="20"/>
          <w:szCs w:val="20"/>
        </w:rPr>
        <w:t>Zamawiający podtrzymuje obecne terminy, o których mowa jest w SIWZ.</w:t>
      </w:r>
    </w:p>
    <w:p w:rsidR="00283B32" w:rsidRDefault="00283B32" w:rsidP="00E45E0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6219D8" w:rsidRDefault="006219D8" w:rsidP="00E45E0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Pytanie 4</w:t>
      </w:r>
      <w:r w:rsidRPr="006219D8">
        <w:rPr>
          <w:rFonts w:ascii="Century Gothic" w:hAnsi="Century Gothic"/>
          <w:sz w:val="20"/>
          <w:szCs w:val="20"/>
        </w:rPr>
        <w:t>(SIWZ Roz. 4, Poz. 1, Lp. 3)</w:t>
      </w:r>
    </w:p>
    <w:p w:rsidR="006219D8" w:rsidRDefault="006219D8" w:rsidP="00E45E0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6219D8">
        <w:rPr>
          <w:rFonts w:ascii="Century Gothic" w:hAnsi="Century Gothic"/>
          <w:sz w:val="20"/>
          <w:szCs w:val="20"/>
        </w:rPr>
        <w:t>Czy Zamawiający potwierdza, że mechanizm szyfrowania ruchu zgodnie z IEEE 802.1AE (</w:t>
      </w:r>
      <w:proofErr w:type="spellStart"/>
      <w:r w:rsidRPr="006219D8">
        <w:rPr>
          <w:rFonts w:ascii="Century Gothic" w:hAnsi="Century Gothic"/>
          <w:sz w:val="20"/>
          <w:szCs w:val="20"/>
        </w:rPr>
        <w:t>MACSec</w:t>
      </w:r>
      <w:proofErr w:type="spellEnd"/>
      <w:r w:rsidRPr="006219D8">
        <w:rPr>
          <w:rFonts w:ascii="Century Gothic" w:hAnsi="Century Gothic"/>
          <w:sz w:val="20"/>
          <w:szCs w:val="20"/>
        </w:rPr>
        <w:t>) jest funkcjonalnością obligatoryjną i musi być dostępny w oferowanych przełącznikach sieciowych? Jeżeli nie jest to funkcjonalność obligatoryjna, prosimy o jej wykreślenie tym bardziej, że mechanizm szyfrowania nie jest wymagany przez bezprzewodowe punkty dostępowe AP.</w:t>
      </w:r>
    </w:p>
    <w:p w:rsidR="00B44519" w:rsidRDefault="00B44519" w:rsidP="00E45E0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283B32">
        <w:rPr>
          <w:rFonts w:ascii="Century Gothic" w:hAnsi="Century Gothic"/>
          <w:sz w:val="20"/>
          <w:szCs w:val="20"/>
        </w:rPr>
        <w:t xml:space="preserve">Odp. </w:t>
      </w:r>
      <w:r w:rsidR="00283B32" w:rsidRPr="00283B32">
        <w:rPr>
          <w:rFonts w:ascii="Century Gothic" w:hAnsi="Century Gothic"/>
          <w:sz w:val="20"/>
          <w:szCs w:val="20"/>
        </w:rPr>
        <w:t>Zamawiający potwierdza, że mechanizm szyfrowania ruchu zgodnie z IEEE</w:t>
      </w:r>
      <w:r w:rsidR="00283B32" w:rsidRPr="00283B32">
        <w:rPr>
          <w:rFonts w:ascii="Century Gothic" w:hAnsi="Century Gothic"/>
          <w:sz w:val="20"/>
          <w:szCs w:val="20"/>
        </w:rPr>
        <w:br/>
        <w:t>802.1AE (</w:t>
      </w:r>
      <w:proofErr w:type="spellStart"/>
      <w:r w:rsidR="00283B32" w:rsidRPr="00283B32">
        <w:rPr>
          <w:rFonts w:ascii="Century Gothic" w:hAnsi="Century Gothic"/>
          <w:sz w:val="20"/>
          <w:szCs w:val="20"/>
        </w:rPr>
        <w:t>MACSec</w:t>
      </w:r>
      <w:proofErr w:type="spellEnd"/>
      <w:r w:rsidR="00283B32" w:rsidRPr="00283B32">
        <w:rPr>
          <w:rFonts w:ascii="Century Gothic" w:hAnsi="Century Gothic"/>
          <w:sz w:val="20"/>
          <w:szCs w:val="20"/>
        </w:rPr>
        <w:t>) jest funkcjonalnością obligatoryjną i musi być</w:t>
      </w:r>
      <w:r w:rsidR="00283B32">
        <w:rPr>
          <w:rFonts w:ascii="Century Gothic" w:hAnsi="Century Gothic"/>
          <w:sz w:val="20"/>
          <w:szCs w:val="20"/>
        </w:rPr>
        <w:t xml:space="preserve"> </w:t>
      </w:r>
      <w:r w:rsidR="00283B32" w:rsidRPr="00283B32">
        <w:rPr>
          <w:rFonts w:ascii="Century Gothic" w:hAnsi="Century Gothic"/>
          <w:sz w:val="20"/>
          <w:szCs w:val="20"/>
        </w:rPr>
        <w:t>dostępny w oferowanych przełącznikach sieciowych. Zamawiający</w:t>
      </w:r>
      <w:r w:rsidR="00283B32">
        <w:rPr>
          <w:rFonts w:ascii="Century Gothic" w:hAnsi="Century Gothic"/>
          <w:sz w:val="20"/>
          <w:szCs w:val="20"/>
        </w:rPr>
        <w:t xml:space="preserve"> </w:t>
      </w:r>
      <w:r w:rsidR="00283B32" w:rsidRPr="00283B32">
        <w:rPr>
          <w:rFonts w:ascii="Century Gothic" w:hAnsi="Century Gothic"/>
          <w:sz w:val="20"/>
          <w:szCs w:val="20"/>
        </w:rPr>
        <w:t>przypomina, że nie ma konieczności dostarczenia przełączników</w:t>
      </w:r>
      <w:r w:rsidR="00283B32">
        <w:rPr>
          <w:rFonts w:ascii="Century Gothic" w:hAnsi="Century Gothic"/>
          <w:sz w:val="20"/>
          <w:szCs w:val="20"/>
        </w:rPr>
        <w:t xml:space="preserve"> </w:t>
      </w:r>
      <w:r w:rsidR="00283B32" w:rsidRPr="00283B32">
        <w:rPr>
          <w:rFonts w:ascii="Century Gothic" w:hAnsi="Century Gothic"/>
          <w:sz w:val="20"/>
          <w:szCs w:val="20"/>
        </w:rPr>
        <w:t>sieciowych tego samego producenta co punkty bezprzewodowe.</w:t>
      </w:r>
    </w:p>
    <w:p w:rsidR="00283B32" w:rsidRDefault="00283B32" w:rsidP="00B4451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D1D1C" w:rsidRDefault="003D1D1C" w:rsidP="003D1D1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3D1D1C" w:rsidRDefault="003D1D1C" w:rsidP="003D1D1C">
      <w:pPr>
        <w:jc w:val="right"/>
        <w:rPr>
          <w:rFonts w:ascii="Century Gothic" w:hAnsi="Century Gothic"/>
          <w:sz w:val="20"/>
          <w:szCs w:val="20"/>
        </w:rPr>
      </w:pPr>
    </w:p>
    <w:p w:rsidR="00283B32" w:rsidRDefault="003D1D1C" w:rsidP="003D1D1C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38231D">
        <w:rPr>
          <w:rFonts w:ascii="Century Gothic" w:hAnsi="Century Gothic" w:cs="Century Gothic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sz w:val="20"/>
          <w:szCs w:val="20"/>
        </w:rPr>
        <w:t>art</w:t>
      </w:r>
      <w:r w:rsidRPr="0038231D">
        <w:rPr>
          <w:rFonts w:ascii="Century Gothic" w:hAnsi="Century Gothic" w:cs="Century Gothic"/>
          <w:sz w:val="20"/>
          <w:szCs w:val="20"/>
        </w:rPr>
        <w:t>. 38 ust. 4 ustawy Prawo zamówień publicznych (</w:t>
      </w:r>
      <w:r>
        <w:rPr>
          <w:rFonts w:ascii="Century Gothic" w:hAnsi="Century Gothic" w:cs="Century Gothic"/>
          <w:sz w:val="20"/>
          <w:szCs w:val="20"/>
        </w:rPr>
        <w:t>Dz. U. z 2019 r. poz. 1843 ze zm.</w:t>
      </w:r>
      <w:r w:rsidRPr="0038231D">
        <w:rPr>
          <w:rFonts w:ascii="Century Gothic" w:hAnsi="Century Gothic" w:cs="Century Gothic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sz w:val="20"/>
          <w:szCs w:val="20"/>
        </w:rPr>
        <w:t>dokonuje modyfikacji treści SIWZ w zakresie udzielonej odpowiedzi na pytanie nr 2.</w:t>
      </w:r>
    </w:p>
    <w:p w:rsidR="003D1D1C" w:rsidRPr="00B44519" w:rsidRDefault="003D1D1C" w:rsidP="003D1D1C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SIWZ (</w:t>
      </w:r>
      <w:r w:rsidR="00B27E1B">
        <w:rPr>
          <w:rFonts w:ascii="Century Gothic" w:hAnsi="Century Gothic"/>
          <w:sz w:val="20"/>
          <w:szCs w:val="20"/>
        </w:rPr>
        <w:t xml:space="preserve">Rozdział IV </w:t>
      </w:r>
      <w:r>
        <w:rPr>
          <w:rFonts w:ascii="Century Gothic" w:hAnsi="Century Gothic"/>
          <w:sz w:val="20"/>
          <w:szCs w:val="20"/>
        </w:rPr>
        <w:t>Opis przedmiotu zamówienia) b</w:t>
      </w:r>
      <w:r w:rsidRPr="003D1D1C">
        <w:rPr>
          <w:rFonts w:ascii="Century Gothic" w:hAnsi="Century Gothic"/>
          <w:sz w:val="20"/>
          <w:szCs w:val="20"/>
        </w:rPr>
        <w:t>yło:</w:t>
      </w:r>
      <w:r w:rsidR="00B27E1B">
        <w:rPr>
          <w:rFonts w:ascii="Century Gothic" w:hAnsi="Century Gothic"/>
          <w:sz w:val="20"/>
          <w:szCs w:val="20"/>
        </w:rPr>
        <w:br/>
      </w:r>
      <w:r w:rsidRPr="003D1D1C">
        <w:rPr>
          <w:rFonts w:ascii="Century Gothic" w:hAnsi="Century Gothic"/>
          <w:sz w:val="20"/>
          <w:szCs w:val="20"/>
        </w:rPr>
        <w:t>Urządzenie musi posiadać możliwość szyfrowania ruchu zgodnie z IEEE</w:t>
      </w:r>
      <w:r>
        <w:rPr>
          <w:rFonts w:ascii="Century Gothic" w:hAnsi="Century Gothic"/>
          <w:sz w:val="20"/>
          <w:szCs w:val="20"/>
        </w:rPr>
        <w:t xml:space="preserve"> </w:t>
      </w:r>
      <w:r w:rsidRPr="003D1D1C">
        <w:rPr>
          <w:rFonts w:ascii="Century Gothic" w:hAnsi="Century Gothic"/>
          <w:sz w:val="20"/>
          <w:szCs w:val="20"/>
        </w:rPr>
        <w:t>802.1AE (</w:t>
      </w:r>
      <w:proofErr w:type="spellStart"/>
      <w:r w:rsidRPr="003D1D1C">
        <w:rPr>
          <w:rFonts w:ascii="Century Gothic" w:hAnsi="Century Gothic"/>
          <w:sz w:val="20"/>
          <w:szCs w:val="20"/>
        </w:rPr>
        <w:t>MACSec</w:t>
      </w:r>
      <w:proofErr w:type="spellEnd"/>
      <w:r w:rsidRPr="003D1D1C">
        <w:rPr>
          <w:rFonts w:ascii="Century Gothic" w:hAnsi="Century Gothic"/>
          <w:sz w:val="20"/>
          <w:szCs w:val="20"/>
        </w:rPr>
        <w:t>) dla wszystkich portów przełącznika kluczami o</w:t>
      </w:r>
      <w:r>
        <w:rPr>
          <w:rFonts w:ascii="Century Gothic" w:hAnsi="Century Gothic"/>
          <w:sz w:val="20"/>
          <w:szCs w:val="20"/>
        </w:rPr>
        <w:t xml:space="preserve"> </w:t>
      </w:r>
      <w:r w:rsidRPr="003D1D1C">
        <w:rPr>
          <w:rFonts w:ascii="Century Gothic" w:hAnsi="Century Gothic"/>
          <w:sz w:val="20"/>
          <w:szCs w:val="20"/>
        </w:rPr>
        <w:t>długości 128-bitów.</w:t>
      </w:r>
      <w:r w:rsidRPr="003D1D1C">
        <w:rPr>
          <w:rFonts w:ascii="Century Gothic" w:hAnsi="Century Gothic"/>
          <w:sz w:val="20"/>
          <w:szCs w:val="20"/>
        </w:rPr>
        <w:br/>
      </w:r>
      <w:r w:rsidRPr="003D1D1C">
        <w:rPr>
          <w:rFonts w:ascii="Century Gothic" w:hAnsi="Century Gothic"/>
          <w:sz w:val="20"/>
          <w:szCs w:val="20"/>
        </w:rPr>
        <w:br/>
      </w:r>
      <w:r w:rsidR="00B27E1B">
        <w:rPr>
          <w:rFonts w:ascii="Century Gothic" w:hAnsi="Century Gothic"/>
          <w:sz w:val="20"/>
          <w:szCs w:val="20"/>
        </w:rPr>
        <w:t>W SIWZ (Rozdział IV Opis przedmiotu zamówienia) jest</w:t>
      </w:r>
      <w:r w:rsidRPr="003D1D1C">
        <w:rPr>
          <w:rFonts w:ascii="Century Gothic" w:hAnsi="Century Gothic"/>
          <w:sz w:val="20"/>
          <w:szCs w:val="20"/>
        </w:rPr>
        <w:t>:</w:t>
      </w:r>
      <w:r w:rsidR="00B27E1B">
        <w:rPr>
          <w:rFonts w:ascii="Century Gothic" w:hAnsi="Century Gothic"/>
          <w:sz w:val="20"/>
          <w:szCs w:val="20"/>
        </w:rPr>
        <w:br/>
      </w:r>
      <w:r w:rsidRPr="003D1D1C">
        <w:rPr>
          <w:rFonts w:ascii="Century Gothic" w:hAnsi="Century Gothic"/>
          <w:sz w:val="20"/>
          <w:szCs w:val="20"/>
        </w:rPr>
        <w:t>Urządzenie musi posiadać możliwość szyfrowania ruchu zgodnie z IEEE</w:t>
      </w:r>
      <w:r w:rsidR="00B27E1B">
        <w:rPr>
          <w:rFonts w:ascii="Century Gothic" w:hAnsi="Century Gothic"/>
          <w:sz w:val="20"/>
          <w:szCs w:val="20"/>
        </w:rPr>
        <w:t xml:space="preserve"> </w:t>
      </w:r>
      <w:r w:rsidRPr="003D1D1C">
        <w:rPr>
          <w:rFonts w:ascii="Century Gothic" w:hAnsi="Century Gothic"/>
          <w:sz w:val="20"/>
          <w:szCs w:val="20"/>
        </w:rPr>
        <w:t>802.1AE (</w:t>
      </w:r>
      <w:proofErr w:type="spellStart"/>
      <w:r w:rsidRPr="003D1D1C">
        <w:rPr>
          <w:rFonts w:ascii="Century Gothic" w:hAnsi="Century Gothic"/>
          <w:sz w:val="20"/>
          <w:szCs w:val="20"/>
        </w:rPr>
        <w:t>MACSec</w:t>
      </w:r>
      <w:proofErr w:type="spellEnd"/>
      <w:r w:rsidRPr="003D1D1C">
        <w:rPr>
          <w:rFonts w:ascii="Century Gothic" w:hAnsi="Century Gothic"/>
          <w:sz w:val="20"/>
          <w:szCs w:val="20"/>
        </w:rPr>
        <w:t>) dla wszystkich portów przełącznika kluczami o</w:t>
      </w:r>
      <w:r w:rsidR="00B27E1B">
        <w:rPr>
          <w:rFonts w:ascii="Century Gothic" w:hAnsi="Century Gothic"/>
          <w:sz w:val="20"/>
          <w:szCs w:val="20"/>
        </w:rPr>
        <w:t xml:space="preserve"> </w:t>
      </w:r>
      <w:r w:rsidRPr="003D1D1C">
        <w:rPr>
          <w:rFonts w:ascii="Century Gothic" w:hAnsi="Century Gothic"/>
          <w:sz w:val="20"/>
          <w:szCs w:val="20"/>
        </w:rPr>
        <w:t>długości min. 128-bitów.</w:t>
      </w:r>
    </w:p>
    <w:p w:rsidR="00283B32" w:rsidRDefault="00283B32" w:rsidP="00054E2B">
      <w:pPr>
        <w:jc w:val="right"/>
        <w:rPr>
          <w:rFonts w:ascii="Century Gothic" w:hAnsi="Century Gothic"/>
          <w:sz w:val="20"/>
          <w:szCs w:val="20"/>
        </w:rPr>
      </w:pPr>
    </w:p>
    <w:p w:rsidR="00283B32" w:rsidRDefault="00283B32" w:rsidP="00054E2B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283B32" w:rsidRDefault="00283B32" w:rsidP="00054E2B">
      <w:pPr>
        <w:jc w:val="right"/>
        <w:rPr>
          <w:rFonts w:ascii="Century Gothic" w:hAnsi="Century Gothic"/>
          <w:sz w:val="20"/>
          <w:szCs w:val="20"/>
        </w:rPr>
      </w:pPr>
    </w:p>
    <w:p w:rsidR="00A534FE" w:rsidRPr="00283B32" w:rsidRDefault="001F5B32" w:rsidP="00054E2B">
      <w:pPr>
        <w:jc w:val="right"/>
        <w:rPr>
          <w:rFonts w:ascii="Century Gothic" w:hAnsi="Century Gothic"/>
          <w:sz w:val="20"/>
          <w:szCs w:val="20"/>
        </w:rPr>
      </w:pPr>
      <w:r w:rsidRPr="00283B32">
        <w:rPr>
          <w:rFonts w:ascii="Century Gothic" w:hAnsi="Century Gothic"/>
          <w:sz w:val="20"/>
          <w:szCs w:val="20"/>
        </w:rPr>
        <w:t>mgr Renata</w:t>
      </w:r>
      <w:r w:rsidR="00054E2B" w:rsidRPr="00283B32">
        <w:rPr>
          <w:rFonts w:ascii="Century Gothic" w:hAnsi="Century Gothic"/>
          <w:sz w:val="20"/>
          <w:szCs w:val="20"/>
        </w:rPr>
        <w:t xml:space="preserve"> Malak</w:t>
      </w:r>
      <w:r w:rsidRPr="00283B32">
        <w:rPr>
          <w:rFonts w:ascii="Century Gothic" w:hAnsi="Century Gothic"/>
          <w:sz w:val="20"/>
          <w:szCs w:val="20"/>
        </w:rPr>
        <w:t xml:space="preserve"> </w:t>
      </w:r>
    </w:p>
    <w:sectPr w:rsidR="00A534FE" w:rsidRPr="00283B32" w:rsidSect="001F5B3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EE"/>
    <w:family w:val="swiss"/>
    <w:pitch w:val="variable"/>
    <w:sig w:usb0="E00002FF" w:usb1="4000205B" w:usb2="00000001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05B254C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22386B21"/>
    <w:multiLevelType w:val="multilevel"/>
    <w:tmpl w:val="439AB81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645DB6"/>
    <w:multiLevelType w:val="multilevel"/>
    <w:tmpl w:val="926485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>
    <w:nsid w:val="3F206047"/>
    <w:multiLevelType w:val="multilevel"/>
    <w:tmpl w:val="8F5C25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4B9F5847"/>
    <w:multiLevelType w:val="multilevel"/>
    <w:tmpl w:val="C8EECC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6351FDA"/>
    <w:multiLevelType w:val="multilevel"/>
    <w:tmpl w:val="59B29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13"/>
  </w:num>
  <w:num w:numId="8">
    <w:abstractNumId w:val="7"/>
  </w:num>
  <w:num w:numId="9">
    <w:abstractNumId w:val="11"/>
  </w:num>
  <w:num w:numId="10">
    <w:abstractNumId w:val="6"/>
  </w:num>
  <w:num w:numId="11">
    <w:abstractNumId w:val="9"/>
  </w:num>
  <w:num w:numId="12">
    <w:abstractNumId w:val="12"/>
  </w:num>
  <w:num w:numId="13">
    <w:abstractNumId w:val="10"/>
  </w:num>
  <w:num w:numId="14">
    <w:abstractNumId w:val="5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84BEC"/>
    <w:rsid w:val="000520B7"/>
    <w:rsid w:val="0005417A"/>
    <w:rsid w:val="00054E2B"/>
    <w:rsid w:val="000F4E0E"/>
    <w:rsid w:val="001F5B32"/>
    <w:rsid w:val="002613F1"/>
    <w:rsid w:val="00283B32"/>
    <w:rsid w:val="00284BEC"/>
    <w:rsid w:val="002C45E7"/>
    <w:rsid w:val="002D16EF"/>
    <w:rsid w:val="002F7362"/>
    <w:rsid w:val="0030321C"/>
    <w:rsid w:val="00365643"/>
    <w:rsid w:val="00386923"/>
    <w:rsid w:val="003B1555"/>
    <w:rsid w:val="003D0300"/>
    <w:rsid w:val="003D1D1C"/>
    <w:rsid w:val="00435E89"/>
    <w:rsid w:val="00466B33"/>
    <w:rsid w:val="00481DDE"/>
    <w:rsid w:val="0048647B"/>
    <w:rsid w:val="00493F22"/>
    <w:rsid w:val="004B4844"/>
    <w:rsid w:val="004F762C"/>
    <w:rsid w:val="00507525"/>
    <w:rsid w:val="00571867"/>
    <w:rsid w:val="005E1FBF"/>
    <w:rsid w:val="006219D8"/>
    <w:rsid w:val="00684CEC"/>
    <w:rsid w:val="006D4A4D"/>
    <w:rsid w:val="006D5814"/>
    <w:rsid w:val="0076624B"/>
    <w:rsid w:val="00766AB5"/>
    <w:rsid w:val="00786DF9"/>
    <w:rsid w:val="007B1293"/>
    <w:rsid w:val="00805A1E"/>
    <w:rsid w:val="00856DEB"/>
    <w:rsid w:val="00893D56"/>
    <w:rsid w:val="008A0274"/>
    <w:rsid w:val="008D21F5"/>
    <w:rsid w:val="00915AE2"/>
    <w:rsid w:val="0091612A"/>
    <w:rsid w:val="0092508B"/>
    <w:rsid w:val="00942E96"/>
    <w:rsid w:val="0096266E"/>
    <w:rsid w:val="00990D3F"/>
    <w:rsid w:val="009A0AB0"/>
    <w:rsid w:val="009A67A4"/>
    <w:rsid w:val="009F695E"/>
    <w:rsid w:val="00A020A0"/>
    <w:rsid w:val="00A40407"/>
    <w:rsid w:val="00A534FE"/>
    <w:rsid w:val="00A85AF0"/>
    <w:rsid w:val="00AB6F7C"/>
    <w:rsid w:val="00AD0019"/>
    <w:rsid w:val="00B27E1B"/>
    <w:rsid w:val="00B44519"/>
    <w:rsid w:val="00BA6969"/>
    <w:rsid w:val="00BD1E66"/>
    <w:rsid w:val="00C6352E"/>
    <w:rsid w:val="00CF3565"/>
    <w:rsid w:val="00D74FD9"/>
    <w:rsid w:val="00D80813"/>
    <w:rsid w:val="00E12A99"/>
    <w:rsid w:val="00E45E02"/>
    <w:rsid w:val="00E47C80"/>
    <w:rsid w:val="00EA17DB"/>
    <w:rsid w:val="00EB2E26"/>
    <w:rsid w:val="00EC0F0C"/>
    <w:rsid w:val="00EE0FF1"/>
    <w:rsid w:val="00EF62F9"/>
    <w:rsid w:val="00F7626D"/>
    <w:rsid w:val="00F93DCD"/>
    <w:rsid w:val="00FE75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aliases w:val="normalny tekst"/>
    <w:basedOn w:val="Normalny"/>
    <w:link w:val="AkapitzlistZnak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  <w:style w:type="paragraph" w:customStyle="1" w:styleId="Styl3">
    <w:name w:val="Styl3"/>
    <w:basedOn w:val="Normalny"/>
    <w:rsid w:val="00C6352E"/>
    <w:pPr>
      <w:widowControl/>
      <w:tabs>
        <w:tab w:val="num" w:pos="360"/>
        <w:tab w:val="num" w:pos="720"/>
      </w:tabs>
      <w:spacing w:line="360" w:lineRule="auto"/>
      <w:jc w:val="both"/>
      <w:outlineLvl w:val="2"/>
    </w:pPr>
    <w:rPr>
      <w:rFonts w:cs="Times New Roman"/>
      <w:kern w:val="0"/>
      <w:sz w:val="22"/>
      <w:szCs w:val="20"/>
      <w:lang w:eastAsia="ar-SA" w:bidi="ar-SA"/>
    </w:rPr>
  </w:style>
  <w:style w:type="character" w:customStyle="1" w:styleId="object">
    <w:name w:val="object"/>
    <w:basedOn w:val="Domylnaczcionkaakapitu"/>
    <w:rsid w:val="00C6352E"/>
  </w:style>
  <w:style w:type="character" w:customStyle="1" w:styleId="AkapitzlistZnak">
    <w:name w:val="Akapit z listą Znak"/>
    <w:aliases w:val="normalny tekst Znak"/>
    <w:link w:val="Akapitzlist"/>
    <w:locked/>
    <w:rsid w:val="001F5B3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9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9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534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Agnieszka</cp:lastModifiedBy>
  <cp:revision>6</cp:revision>
  <cp:lastPrinted>2019-09-24T07:56:00Z</cp:lastPrinted>
  <dcterms:created xsi:type="dcterms:W3CDTF">2020-11-09T09:33:00Z</dcterms:created>
  <dcterms:modified xsi:type="dcterms:W3CDTF">2020-11-09T13:58:00Z</dcterms:modified>
</cp:coreProperties>
</file>