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8E5" w:rsidRDefault="00FF68E5" w:rsidP="00BA7FAB">
      <w:pPr>
        <w:jc w:val="center"/>
      </w:pPr>
    </w:p>
    <w:p w:rsidR="00BA7FAB" w:rsidRPr="00B35CBA" w:rsidRDefault="009769CC" w:rsidP="00BA7FAB">
      <w:pPr>
        <w:jc w:val="center"/>
        <w:rPr>
          <w:b/>
          <w:bCs/>
        </w:rPr>
      </w:pPr>
      <w:r w:rsidRPr="009769CC">
        <w:rPr>
          <w:noProof/>
          <w:lang w:eastAsia="pl-PL" w:bidi="ar-SA"/>
        </w:rPr>
        <w:pict>
          <v:rect id="Rectangle 5" o:spid="_x0000_s1026" style="position:absolute;left:0;text-align:left;margin-left:0;margin-top:13.9pt;width:111.3pt;height:68.8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</w:pict>
      </w:r>
      <w:r w:rsidR="001B547B"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FD423B">
        <w:rPr>
          <w:rFonts w:ascii="Century Gothic" w:hAnsi="Century Gothic" w:cs="Century Gothic"/>
          <w:b/>
          <w:bCs/>
          <w:sz w:val="20"/>
          <w:szCs w:val="20"/>
        </w:rPr>
        <w:t>137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FD423B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F42984">
        <w:rPr>
          <w:rFonts w:ascii="Century Gothic" w:hAnsi="Century Gothic" w:cs="Century Gothic"/>
          <w:sz w:val="20"/>
          <w:szCs w:val="20"/>
        </w:rPr>
        <w:t>10</w:t>
      </w:r>
      <w:r w:rsidR="007751A8">
        <w:rPr>
          <w:rFonts w:ascii="Century Gothic" w:hAnsi="Century Gothic" w:cs="Century Gothic"/>
          <w:sz w:val="20"/>
          <w:szCs w:val="20"/>
        </w:rPr>
        <w:t>.</w:t>
      </w:r>
      <w:r w:rsidR="00FD423B">
        <w:rPr>
          <w:rFonts w:ascii="Century Gothic" w:hAnsi="Century Gothic" w:cs="Century Gothic"/>
          <w:sz w:val="20"/>
          <w:szCs w:val="20"/>
        </w:rPr>
        <w:t>12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FD423B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F1EF8" w:rsidRPr="00FD423B" w:rsidRDefault="007B0DE4" w:rsidP="002F1EF8">
      <w:pPr>
        <w:spacing w:line="360" w:lineRule="auto"/>
        <w:jc w:val="center"/>
        <w:rPr>
          <w:rFonts w:ascii="Century Gothic" w:hAnsi="Century Gothic"/>
          <w:b/>
          <w:color w:val="FF0000"/>
          <w:sz w:val="20"/>
          <w:szCs w:val="20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</w:t>
      </w:r>
      <w:r w:rsidRPr="00FD423B">
        <w:rPr>
          <w:rFonts w:ascii="Century Gothic" w:hAnsi="Century Gothic"/>
          <w:sz w:val="20"/>
          <w:szCs w:val="20"/>
        </w:rPr>
        <w:t xml:space="preserve">udzielenie zamówienia publicznego prowadzonego w trybie przetargu nieograniczonego na </w:t>
      </w:r>
      <w:r w:rsidR="00FD423B" w:rsidRPr="00FD423B">
        <w:rPr>
          <w:rStyle w:val="Pogrubienie"/>
          <w:rFonts w:ascii="Century Gothic" w:hAnsi="Century Gothic" w:cs="Helvetica"/>
          <w:color w:val="000000"/>
          <w:sz w:val="20"/>
          <w:szCs w:val="20"/>
          <w:shd w:val="clear" w:color="auto" w:fill="FFFFFF"/>
        </w:rPr>
        <w:t>Wykonanie robót budowlanych polegających na zmianie sposobu użytkowania pomieszczeń piwnicznych /dawnej stołówki i kuchni / na laboratoryjne z przestrzenią dydaktyczną w obiekcie zabytkowym, wpisanym do rejestru zabytków WUOZ w Bydgoszczy pod numerem A/364/1 przy ul. Pl. Kościeleckich 8</w:t>
      </w:r>
    </w:p>
    <w:p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>O ODRZUCENIU OFERTY</w:t>
      </w:r>
      <w:r w:rsidR="00D954F3">
        <w:rPr>
          <w:rFonts w:ascii="Century Gothic" w:hAnsi="Century Gothic"/>
          <w:b/>
          <w:sz w:val="24"/>
          <w:szCs w:val="24"/>
        </w:rPr>
        <w:t xml:space="preserve">  </w:t>
      </w:r>
      <w:r w:rsidR="00D954F3" w:rsidRPr="004B3916">
        <w:rPr>
          <w:rFonts w:ascii="Century Gothic" w:hAnsi="Century Gothic"/>
          <w:b/>
          <w:sz w:val="24"/>
          <w:szCs w:val="24"/>
        </w:rPr>
        <w:t>,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3D2A04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1F48A0" w:rsidRDefault="001F48A0" w:rsidP="003D2A04">
      <w:pPr>
        <w:tabs>
          <w:tab w:val="left" w:pos="0"/>
        </w:tabs>
        <w:spacing w:line="360" w:lineRule="auto"/>
        <w:jc w:val="both"/>
        <w:rPr>
          <w:rFonts w:ascii="Century Gothic" w:hAnsi="Century Gothic"/>
          <w:sz w:val="20"/>
        </w:rPr>
      </w:pPr>
    </w:p>
    <w:p w:rsidR="001F48A0" w:rsidRPr="00CE1C48" w:rsidRDefault="001F48A0" w:rsidP="003D2A0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 xml:space="preserve">Zamawiający </w:t>
      </w:r>
      <w:r w:rsidRPr="00CE1C48">
        <w:rPr>
          <w:rFonts w:ascii="Century Gothic" w:hAnsi="Century Gothic"/>
          <w:sz w:val="20"/>
        </w:rPr>
        <w:t xml:space="preserve">informuje, iż w postępowaniu o udzielenie zamówienia publicznego prowadzonym w trybie przetargu nieograniczonego, na podstawie art. 89 ust. 1 pkt. </w:t>
      </w:r>
      <w:r w:rsidR="00CE1C48" w:rsidRPr="00CE1C48">
        <w:rPr>
          <w:rFonts w:ascii="Century Gothic" w:hAnsi="Century Gothic"/>
          <w:sz w:val="20"/>
        </w:rPr>
        <w:t>5</w:t>
      </w:r>
      <w:r w:rsidRPr="00CE1C48">
        <w:rPr>
          <w:rFonts w:ascii="Century Gothic" w:hAnsi="Century Gothic"/>
          <w:sz w:val="20"/>
        </w:rPr>
        <w:t xml:space="preserve"> ustawy Prawo zamówień publicznych, odrzucił ofertę niżej wymienionego Wykonawcy</w:t>
      </w:r>
      <w:r w:rsidR="00CE1C48" w:rsidRPr="00CE1C48">
        <w:rPr>
          <w:rFonts w:ascii="Century Gothic" w:hAnsi="Century Gothic"/>
          <w:sz w:val="20"/>
        </w:rPr>
        <w:t xml:space="preserve"> w związku z wykluczeniem na podstawie art. 24 ust 1 </w:t>
      </w:r>
      <w:proofErr w:type="spellStart"/>
      <w:r w:rsidR="00CE1C48" w:rsidRPr="00CE1C48">
        <w:rPr>
          <w:rFonts w:ascii="Century Gothic" w:hAnsi="Century Gothic"/>
          <w:sz w:val="20"/>
        </w:rPr>
        <w:t>pkt</w:t>
      </w:r>
      <w:proofErr w:type="spellEnd"/>
      <w:r w:rsidR="00CE1C48" w:rsidRPr="00CE1C48">
        <w:rPr>
          <w:rFonts w:ascii="Century Gothic" w:hAnsi="Century Gothic"/>
          <w:sz w:val="20"/>
        </w:rPr>
        <w:t xml:space="preserve"> 12  </w:t>
      </w:r>
      <w:r w:rsidRPr="00CE1C48">
        <w:rPr>
          <w:rFonts w:ascii="Century Gothic" w:hAnsi="Century Gothic"/>
          <w:sz w:val="20"/>
        </w:rPr>
        <w:t>:</w:t>
      </w:r>
    </w:p>
    <w:p w:rsidR="001F48A0" w:rsidRPr="00CE1C48" w:rsidRDefault="001F48A0" w:rsidP="003D2A04">
      <w:pPr>
        <w:pStyle w:val="Tekstpodstawowywcity"/>
        <w:ind w:left="180" w:firstLine="0"/>
        <w:jc w:val="both"/>
        <w:rPr>
          <w:rFonts w:ascii="Century Gothic" w:hAnsi="Century Gothic"/>
          <w:sz w:val="20"/>
        </w:rPr>
      </w:pPr>
    </w:p>
    <w:p w:rsidR="00FD423B" w:rsidRPr="00CE1C48" w:rsidRDefault="001F48A0" w:rsidP="00FD423B">
      <w:pPr>
        <w:jc w:val="center"/>
        <w:rPr>
          <w:rFonts w:ascii="Century Gothic" w:hAnsi="Century Gothic"/>
          <w:sz w:val="20"/>
          <w:szCs w:val="20"/>
        </w:rPr>
      </w:pPr>
      <w:r w:rsidRPr="00CE1C48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CE1C48" w:rsidRPr="00CE1C48">
        <w:rPr>
          <w:rFonts w:ascii="Century Gothic" w:hAnsi="Century Gothic"/>
          <w:b/>
          <w:sz w:val="20"/>
          <w:szCs w:val="20"/>
          <w:u w:val="single"/>
        </w:rPr>
        <w:t>2</w:t>
      </w:r>
      <w:r w:rsidRPr="00CE1C48">
        <w:rPr>
          <w:rFonts w:ascii="Century Gothic" w:hAnsi="Century Gothic"/>
          <w:b/>
          <w:sz w:val="20"/>
          <w:szCs w:val="20"/>
        </w:rPr>
        <w:t xml:space="preserve"> </w:t>
      </w:r>
      <w:r w:rsidRPr="00CE1C48">
        <w:rPr>
          <w:rFonts w:ascii="Century Gothic" w:hAnsi="Century Gothic"/>
          <w:sz w:val="20"/>
          <w:szCs w:val="20"/>
        </w:rPr>
        <w:t>–</w:t>
      </w:r>
      <w:r w:rsidRPr="00CE1C48">
        <w:rPr>
          <w:rFonts w:ascii="Century Gothic" w:hAnsi="Century Gothic"/>
          <w:sz w:val="20"/>
          <w:szCs w:val="20"/>
        </w:rPr>
        <w:tab/>
      </w:r>
      <w:proofErr w:type="spellStart"/>
      <w:r w:rsidR="00FD423B" w:rsidRPr="00CE1C48">
        <w:rPr>
          <w:rFonts w:ascii="Century Gothic" w:hAnsi="Century Gothic"/>
          <w:sz w:val="20"/>
          <w:szCs w:val="20"/>
        </w:rPr>
        <w:t>APE-LP</w:t>
      </w:r>
      <w:proofErr w:type="spellEnd"/>
      <w:r w:rsidR="00FD423B" w:rsidRPr="00CE1C48">
        <w:rPr>
          <w:rFonts w:ascii="Century Gothic" w:hAnsi="Century Gothic"/>
          <w:sz w:val="20"/>
          <w:szCs w:val="20"/>
        </w:rPr>
        <w:t xml:space="preserve"> SP.Z O.O. UL. WAŁY JAGIELLOŃSKIE 1 LOK.1508,80-855 GDAŃSK</w:t>
      </w:r>
    </w:p>
    <w:p w:rsidR="001F48A0" w:rsidRPr="00CE1C48" w:rsidRDefault="001F48A0" w:rsidP="0040583D">
      <w:pPr>
        <w:jc w:val="center"/>
        <w:rPr>
          <w:rFonts w:ascii="Century Gothic" w:hAnsi="Century Gothic"/>
          <w:sz w:val="20"/>
          <w:szCs w:val="20"/>
        </w:rPr>
      </w:pPr>
    </w:p>
    <w:p w:rsid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:rsidR="00FD423B" w:rsidRDefault="001F48A0" w:rsidP="003D2A04">
      <w:pPr>
        <w:spacing w:line="360" w:lineRule="auto"/>
        <w:rPr>
          <w:rFonts w:ascii="Century Gothic" w:hAnsi="Century Gothic"/>
          <w:sz w:val="20"/>
        </w:rPr>
      </w:pPr>
      <w:r w:rsidRPr="003D2A04">
        <w:rPr>
          <w:rFonts w:ascii="Century Gothic" w:hAnsi="Century Gothic"/>
          <w:b/>
          <w:sz w:val="20"/>
          <w:u w:val="single"/>
        </w:rPr>
        <w:t>Uzasadnienie:</w:t>
      </w:r>
      <w:r w:rsidRPr="003D2A04">
        <w:rPr>
          <w:rFonts w:ascii="Century Gothic" w:hAnsi="Century Gothic"/>
          <w:sz w:val="20"/>
        </w:rPr>
        <w:t xml:space="preserve"> </w:t>
      </w:r>
      <w:r w:rsidR="00CE1C48" w:rsidRPr="003D2A04">
        <w:rPr>
          <w:rFonts w:ascii="Century Gothic" w:hAnsi="Century Gothic"/>
          <w:sz w:val="20"/>
        </w:rPr>
        <w:t>Wykonawca w pierwotnie złożonej ofercie zadeklarował samodzielne wykonanie zamówienia.  Z kolei w dalszej części oferty zadeklarował skorzystanie z zasobów podmiotu trzecich w zakresie referencji  :doświadczenia i wiedza.</w:t>
      </w:r>
      <w:r w:rsidR="003D2A04" w:rsidRPr="003D2A04">
        <w:rPr>
          <w:rFonts w:ascii="Century Gothic" w:hAnsi="Century Gothic"/>
          <w:sz w:val="20"/>
        </w:rPr>
        <w:t xml:space="preserve"> Zobowiązanie do oddania do dyspozycji niezbędnych zasobów na okres korzystania </w:t>
      </w:r>
      <w:r w:rsidR="00CE1C48" w:rsidRPr="003D2A04">
        <w:rPr>
          <w:rFonts w:ascii="Century Gothic" w:hAnsi="Century Gothic"/>
          <w:sz w:val="20"/>
        </w:rPr>
        <w:t xml:space="preserve"> </w:t>
      </w:r>
      <w:r w:rsidR="003D2A04" w:rsidRPr="003D2A04">
        <w:rPr>
          <w:rFonts w:ascii="Century Gothic" w:hAnsi="Century Gothic"/>
          <w:sz w:val="20"/>
        </w:rPr>
        <w:t xml:space="preserve">z nich przy wykonywaniu zamówienia (załącznik nr 9b) zawiera powierzenie niezbędnych zasobów (doradztwo , konsultacje) polegających na doświadczeniu przy realizacji zamówień o tożsamym zakresie w obiektach budowlanych. </w:t>
      </w:r>
    </w:p>
    <w:p w:rsidR="00CE1C48" w:rsidRDefault="003D2A04" w:rsidP="003D2A04">
      <w:pPr>
        <w:spacing w:line="360" w:lineRule="auto"/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</w:pPr>
      <w:r w:rsidRPr="003D2A04">
        <w:rPr>
          <w:rFonts w:ascii="Century Gothic" w:hAnsi="Century Gothic"/>
          <w:sz w:val="20"/>
          <w:szCs w:val="20"/>
        </w:rPr>
        <w:t xml:space="preserve"> Tym samym występuje tu niespójność załączonych dokumentów. Jednocześnie nie jest możliwe uzupełnianie formularza ofertowego . T</w:t>
      </w:r>
      <w:r w:rsidR="00CE1C48" w:rsidRPr="003D2A04"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t xml:space="preserve">ego rodzaju sytuacja stanowi w istocie </w:t>
      </w:r>
      <w:r w:rsidR="00CE1C48" w:rsidRPr="003D2A04"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lastRenderedPageBreak/>
        <w:t>znaczącą zmianę pierwotnej oferty.</w:t>
      </w:r>
      <w:r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t xml:space="preserve"> </w:t>
      </w:r>
    </w:p>
    <w:p w:rsidR="003D2A04" w:rsidRPr="0042776D" w:rsidRDefault="003D2A04" w:rsidP="0042776D">
      <w:pPr>
        <w:spacing w:line="360" w:lineRule="auto"/>
        <w:rPr>
          <w:rFonts w:ascii="Century Gothic" w:hAnsi="Century Gothic" w:cs="Arial"/>
          <w:sz w:val="20"/>
          <w:szCs w:val="20"/>
          <w:shd w:val="clear" w:color="auto" w:fill="FFFFFF"/>
        </w:rPr>
      </w:pPr>
      <w:r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t xml:space="preserve">Jednocześnie na wezwanie Zamawiającego dotyczące uzupełnienia dokumentów potwierdzających spełnianie warunków udziału w </w:t>
      </w:r>
      <w:proofErr w:type="spellStart"/>
      <w:r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t>postepowaniu</w:t>
      </w:r>
      <w:proofErr w:type="spellEnd"/>
      <w:r>
        <w:rPr>
          <w:rFonts w:ascii="Century Gothic" w:hAnsi="Century Gothic" w:cs="Arial"/>
          <w:color w:val="333333"/>
          <w:sz w:val="20"/>
          <w:szCs w:val="20"/>
          <w:shd w:val="clear" w:color="auto" w:fill="FFFFFF"/>
        </w:rPr>
        <w:t xml:space="preserve"> Wykonawca złożył referencje wystawione </w:t>
      </w:r>
      <w:r w:rsidRPr="0042776D">
        <w:rPr>
          <w:rFonts w:ascii="Century Gothic" w:hAnsi="Century Gothic" w:cs="Arial"/>
          <w:sz w:val="20"/>
          <w:szCs w:val="20"/>
          <w:shd w:val="clear" w:color="auto" w:fill="FFFFFF"/>
        </w:rPr>
        <w:t xml:space="preserve">na firmę P.H.U </w:t>
      </w:r>
      <w:proofErr w:type="spellStart"/>
      <w:r w:rsidRPr="0042776D">
        <w:rPr>
          <w:rFonts w:ascii="Century Gothic" w:hAnsi="Century Gothic" w:cs="Arial"/>
          <w:sz w:val="20"/>
          <w:szCs w:val="20"/>
          <w:shd w:val="clear" w:color="auto" w:fill="FFFFFF"/>
        </w:rPr>
        <w:t>Labor</w:t>
      </w:r>
      <w:proofErr w:type="spellEnd"/>
      <w:r w:rsidRPr="0042776D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potwierdzając w ten sposób iż będzie korzystał z wiedzy i doświadczenia tej firmy.  Zgodnie z art.  </w:t>
      </w:r>
      <w:r w:rsidR="0042776D" w:rsidRPr="0042776D">
        <w:rPr>
          <w:rFonts w:ascii="Century Gothic" w:hAnsi="Century Gothic" w:cs="Arial"/>
          <w:sz w:val="20"/>
          <w:szCs w:val="20"/>
          <w:shd w:val="clear" w:color="auto" w:fill="FFFFFF"/>
        </w:rPr>
        <w:t>22a ust 4 „</w:t>
      </w:r>
      <w:r w:rsidR="0042776D" w:rsidRPr="0042776D">
        <w:rPr>
          <w:rFonts w:ascii="Century Gothic" w:hAnsi="Century Gothic"/>
          <w:sz w:val="20"/>
          <w:szCs w:val="20"/>
          <w:shd w:val="clear" w:color="auto" w:fill="FFFFFF"/>
        </w:rPr>
        <w:t xml:space="preserve">W odniesieniu do warunków dotyczących wykształcenia, kwalifikacji zawodowych lub </w:t>
      </w:r>
      <w:r w:rsidR="0042776D" w:rsidRPr="0042776D">
        <w:rPr>
          <w:rFonts w:ascii="Century Gothic" w:hAnsi="Century Gothic"/>
          <w:b/>
          <w:sz w:val="20"/>
          <w:szCs w:val="20"/>
          <w:shd w:val="clear" w:color="auto" w:fill="FFFFFF"/>
        </w:rPr>
        <w:t>doświadczenia</w:t>
      </w:r>
      <w:r w:rsidR="0042776D" w:rsidRPr="0042776D">
        <w:rPr>
          <w:rFonts w:ascii="Century Gothic" w:hAnsi="Century Gothic"/>
          <w:sz w:val="20"/>
          <w:szCs w:val="20"/>
          <w:shd w:val="clear" w:color="auto" w:fill="FFFFFF"/>
        </w:rPr>
        <w:t>, wykonawcy mogą polegać na zdolnościach innych podmiotów, jeśli podmioty te zrealizują roboty budowlane lub usługi, do realizacji których te zdolności są wymagane.”</w:t>
      </w:r>
    </w:p>
    <w:p w:rsidR="00FD423B" w:rsidRPr="0042776D" w:rsidRDefault="00FD423B" w:rsidP="0042776D">
      <w:pPr>
        <w:spacing w:line="360" w:lineRule="auto"/>
        <w:rPr>
          <w:rFonts w:ascii="Century Gothic" w:hAnsi="Century Gothic"/>
          <w:sz w:val="20"/>
          <w:szCs w:val="20"/>
          <w:shd w:val="clear" w:color="auto" w:fill="FFFFFF"/>
        </w:rPr>
      </w:pPr>
      <w:r w:rsidRPr="0042776D">
        <w:rPr>
          <w:rFonts w:ascii="Century Gothic" w:hAnsi="Century Gothic"/>
          <w:sz w:val="20"/>
          <w:szCs w:val="20"/>
          <w:shd w:val="clear" w:color="auto" w:fill="FFFFFF"/>
        </w:rPr>
        <w:t>Zgodnie z orzecznictwem</w:t>
      </w:r>
      <w:r w:rsidR="003D2A04" w:rsidRPr="0042776D">
        <w:rPr>
          <w:rFonts w:ascii="Century Gothic" w:hAnsi="Century Gothic"/>
          <w:sz w:val="20"/>
          <w:szCs w:val="20"/>
          <w:shd w:val="clear" w:color="auto" w:fill="FFFFFF"/>
        </w:rPr>
        <w:t xml:space="preserve"> KIO</w:t>
      </w:r>
      <w:r w:rsidRPr="0042776D">
        <w:rPr>
          <w:rFonts w:ascii="Century Gothic" w:hAnsi="Century Gothic"/>
          <w:sz w:val="20"/>
          <w:szCs w:val="20"/>
          <w:shd w:val="clear" w:color="auto" w:fill="FFFFFF"/>
        </w:rPr>
        <w:t>, nie są wystarczające konsultacje mające polegać na przekazywaniu wiedzy pracownikom wykonawcy, gdyż doświadczenie w odniesieniu do robót budowlanych odnosi się nie tylko do praktycznej znajomości zagadnienia, ale także do umiejętności reakcji w warunkach zmieniających się okoliczności, której nie da się uzyskać w sposób inny, niż uprzednio osobiście wykonując roboty (np. wyrok z dnia 20 grudnia 2013 r., KIO 2846/13).</w:t>
      </w:r>
    </w:p>
    <w:p w:rsidR="00FD423B" w:rsidRPr="0042776D" w:rsidRDefault="00FD423B" w:rsidP="0042776D">
      <w:pPr>
        <w:spacing w:line="360" w:lineRule="auto"/>
        <w:rPr>
          <w:rFonts w:ascii="Century Gothic" w:hAnsi="Century Gothic"/>
          <w:sz w:val="20"/>
          <w:szCs w:val="20"/>
          <w:shd w:val="clear" w:color="auto" w:fill="FFFFFF"/>
        </w:rPr>
      </w:pPr>
      <w:r w:rsidRPr="0042776D">
        <w:rPr>
          <w:rFonts w:ascii="Century Gothic" w:hAnsi="Century Gothic"/>
          <w:sz w:val="20"/>
          <w:szCs w:val="20"/>
          <w:shd w:val="clear" w:color="auto" w:fill="FFFFFF"/>
        </w:rPr>
        <w:t xml:space="preserve"> Orzecznictwo Izby akcentuje konieczność zapewnienia realnej realizacji zamówienia przez podmiot trzeci. </w:t>
      </w:r>
    </w:p>
    <w:p w:rsidR="0042776D" w:rsidRPr="00F42984" w:rsidRDefault="0042776D" w:rsidP="00F42984">
      <w:pPr>
        <w:spacing w:line="360" w:lineRule="auto"/>
        <w:jc w:val="both"/>
        <w:rPr>
          <w:rFonts w:ascii="Century Gothic" w:hAnsi="Century Gothic"/>
          <w:sz w:val="20"/>
          <w:szCs w:val="20"/>
          <w:shd w:val="clear" w:color="auto" w:fill="FFFFFF"/>
        </w:rPr>
      </w:pPr>
      <w:r>
        <w:rPr>
          <w:rFonts w:ascii="Century Gothic" w:hAnsi="Century Gothic"/>
          <w:sz w:val="20"/>
          <w:szCs w:val="20"/>
          <w:shd w:val="clear" w:color="auto" w:fill="FFFFFF"/>
        </w:rPr>
        <w:t>Izba Odwoławcza zwraca</w:t>
      </w:r>
      <w:r w:rsidR="00FD423B" w:rsidRPr="0042776D">
        <w:rPr>
          <w:rFonts w:ascii="Century Gothic" w:hAnsi="Century Gothic"/>
          <w:sz w:val="20"/>
          <w:szCs w:val="20"/>
          <w:shd w:val="clear" w:color="auto" w:fill="FFFFFF"/>
        </w:rPr>
        <w:t xml:space="preserve"> uwagę, że dla udostępnienia zasobu doświadczenia przez podmiot trzeci, zgodnie z art. 22a ust. 4 ustawy </w:t>
      </w:r>
      <w:proofErr w:type="spellStart"/>
      <w:r w:rsidR="00FD423B" w:rsidRPr="0042776D">
        <w:rPr>
          <w:rFonts w:ascii="Century Gothic" w:hAnsi="Century Gothic"/>
          <w:sz w:val="20"/>
          <w:szCs w:val="20"/>
          <w:shd w:val="clear" w:color="auto" w:fill="FFFFFF"/>
        </w:rPr>
        <w:t>Pzp</w:t>
      </w:r>
      <w:proofErr w:type="spellEnd"/>
      <w:r w:rsidR="00FD423B" w:rsidRPr="0042776D">
        <w:rPr>
          <w:rFonts w:ascii="Century Gothic" w:hAnsi="Century Gothic"/>
          <w:sz w:val="20"/>
          <w:szCs w:val="20"/>
          <w:shd w:val="clear" w:color="auto" w:fill="FFFFFF"/>
        </w:rPr>
        <w:t xml:space="preserve"> i orzecznictwem w tym zakresie, koniecznym jest wykazanie rzeczywistego dysponowania zasobami podmiotu trzeciego i realizacja robót przez ów podmiot - samodzielna lub wspólnie z wykonawcą. Jak wskazuje TSUE w wyroku C-324/14 „w praktyce, jak słusznie zauważyła Komisja Europejska, wydaje się trudne, a wręcz niemożliwe, aby wykonawca mógł przewidzieć a priori wszystkie możliwe przypadki wykorzystania zdolności innych podmiotów”. Należy zatem uznać, że dopuszczalne jest udzielenie zasobu doświadczenia w sytuacji realizacji robót przez podmiot, niezależnie od </w:t>
      </w:r>
      <w:r w:rsidR="00FD423B" w:rsidRPr="00F42984">
        <w:rPr>
          <w:rFonts w:ascii="Century Gothic" w:hAnsi="Century Gothic"/>
          <w:sz w:val="20"/>
          <w:szCs w:val="20"/>
          <w:shd w:val="clear" w:color="auto" w:fill="FFFFFF"/>
        </w:rPr>
        <w:t>tego, w jakim charakterze podmiot ów będzie roboty realizował, o ile nie uczyni to udostępnienia zasobów pozornym.</w:t>
      </w:r>
    </w:p>
    <w:p w:rsidR="00FD423B" w:rsidRPr="00F42984" w:rsidRDefault="00F42984" w:rsidP="00F4298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>F</w:t>
      </w:r>
      <w:r w:rsidR="0042776D"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>aktycznie udostępnienie potencjału przez podmioty trzecie miało na celu jedynie wykazanie spełnienia warunku, już bez dalszego realnego udziału t</w:t>
      </w:r>
      <w:r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>ego</w:t>
      </w:r>
      <w:r w:rsidR="0042776D"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 xml:space="preserve"> podmiot</w:t>
      </w:r>
      <w:r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>u</w:t>
      </w:r>
      <w:r w:rsidR="0042776D" w:rsidRPr="00F42984">
        <w:rPr>
          <w:rStyle w:val="Pogrubienie"/>
          <w:rFonts w:ascii="Century Gothic" w:hAnsi="Century Gothic"/>
          <w:b w:val="0"/>
          <w:color w:val="222222"/>
          <w:sz w:val="20"/>
          <w:szCs w:val="20"/>
        </w:rPr>
        <w:t xml:space="preserve"> w wykonaniu usługi.</w:t>
      </w:r>
      <w:r w:rsidR="0042776D" w:rsidRPr="00F42984">
        <w:rPr>
          <w:rFonts w:ascii="Century Gothic" w:hAnsi="Century Gothic"/>
          <w:color w:val="222222"/>
          <w:sz w:val="20"/>
          <w:szCs w:val="20"/>
        </w:rPr>
        <w:t> </w:t>
      </w:r>
      <w:r w:rsidRPr="00F42984">
        <w:rPr>
          <w:rFonts w:ascii="Century Gothic" w:hAnsi="Century Gothic"/>
          <w:color w:val="222222"/>
          <w:sz w:val="20"/>
          <w:szCs w:val="20"/>
        </w:rPr>
        <w:t xml:space="preserve">Ponadto występuje tu rozbieżność pomiędzy określonym na formularzu ofertowym samodzielnym wykonaniem robót budowlanych ,a  korzystaniem z zasobów podmiotu trzeciego. </w:t>
      </w:r>
    </w:p>
    <w:p w:rsidR="001F48A0" w:rsidRPr="0042776D" w:rsidRDefault="001F48A0" w:rsidP="00F42984">
      <w:pPr>
        <w:pStyle w:val="Tekstpodstawowywcity"/>
        <w:ind w:left="180" w:firstLine="0"/>
        <w:jc w:val="both"/>
        <w:rPr>
          <w:rFonts w:ascii="Century Gothic" w:hAnsi="Century Gothic"/>
          <w:sz w:val="20"/>
        </w:rPr>
      </w:pPr>
      <w:r w:rsidRPr="0042776D">
        <w:rPr>
          <w:rFonts w:ascii="Century Gothic" w:hAnsi="Century Gothic"/>
          <w:sz w:val="20"/>
          <w:lang w:eastAsia="en-US"/>
        </w:rPr>
        <w:t xml:space="preserve"> </w:t>
      </w:r>
      <w:r w:rsidRPr="0042776D">
        <w:rPr>
          <w:rFonts w:ascii="Century Gothic" w:hAnsi="Century Gothic"/>
          <w:sz w:val="20"/>
        </w:rPr>
        <w:t>Wobec powyższego Zamawiający postanowił jak wyżej.</w:t>
      </w:r>
    </w:p>
    <w:p w:rsidR="004E0A30" w:rsidRPr="0042776D" w:rsidRDefault="004E0A30" w:rsidP="0042776D">
      <w:pPr>
        <w:pStyle w:val="Tekstpodstawowywcity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42984" w:rsidRPr="00F42984" w:rsidRDefault="00732317" w:rsidP="00F42984">
      <w:pPr>
        <w:jc w:val="center"/>
        <w:rPr>
          <w:rFonts w:ascii="Century Gothic" w:hAnsi="Century Gothic"/>
          <w:kern w:val="0"/>
          <w:sz w:val="20"/>
          <w:szCs w:val="20"/>
          <w:lang w:eastAsia="ar-SA" w:bidi="ar-SA"/>
        </w:rPr>
      </w:pPr>
      <w:r w:rsidRPr="00F42984">
        <w:rPr>
          <w:rFonts w:ascii="Century Gothic" w:hAnsi="Century Gothic"/>
          <w:sz w:val="20"/>
          <w:szCs w:val="20"/>
        </w:rPr>
        <w:t xml:space="preserve">oferta nr </w:t>
      </w:r>
      <w:r w:rsidR="00F42984" w:rsidRPr="00F42984">
        <w:rPr>
          <w:rFonts w:ascii="Century Gothic" w:hAnsi="Century Gothic"/>
          <w:sz w:val="20"/>
          <w:szCs w:val="20"/>
        </w:rPr>
        <w:t>1</w:t>
      </w:r>
      <w:r w:rsidRPr="00F42984">
        <w:rPr>
          <w:rFonts w:ascii="Century Gothic" w:hAnsi="Century Gothic"/>
          <w:sz w:val="20"/>
          <w:szCs w:val="20"/>
        </w:rPr>
        <w:t xml:space="preserve"> </w:t>
      </w:r>
      <w:r w:rsidR="00F42984" w:rsidRPr="00F42984">
        <w:rPr>
          <w:rFonts w:ascii="Century Gothic" w:hAnsi="Century Gothic"/>
          <w:sz w:val="20"/>
          <w:szCs w:val="20"/>
        </w:rPr>
        <w:t>MALIBUD FIRMA REMONTOWO BUDOWLANA MARIAN KUDŁACZ UL. NAKIELSKA209,85-391 BYDGOSZCZ</w:t>
      </w:r>
    </w:p>
    <w:p w:rsidR="00F35E4E" w:rsidRDefault="00C53AB9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lastRenderedPageBreak/>
        <w:t>Zamawiający informuje, iż w postępowaniu o udzielenie zamówienia publicznego prowadzonym w trybie przetargu nieograniczonego, na podstawie art. 93 ust</w:t>
      </w:r>
      <w:r w:rsidRPr="00D76042">
        <w:rPr>
          <w:rFonts w:ascii="Century Gothic" w:hAnsi="Century Gothic"/>
          <w:sz w:val="20"/>
        </w:rPr>
        <w:t xml:space="preserve">. 1 pkt. </w:t>
      </w:r>
      <w:r w:rsidR="00D76042" w:rsidRPr="00D76042">
        <w:rPr>
          <w:rFonts w:ascii="Century Gothic" w:hAnsi="Century Gothic"/>
          <w:sz w:val="20"/>
        </w:rPr>
        <w:t>4</w:t>
      </w:r>
      <w:r w:rsidRPr="00D76042">
        <w:rPr>
          <w:rFonts w:ascii="Century Gothic" w:hAnsi="Century Gothic"/>
          <w:sz w:val="20"/>
        </w:rPr>
        <w:t xml:space="preserve"> ustawy </w:t>
      </w:r>
      <w:r w:rsidRPr="00FC61C6">
        <w:rPr>
          <w:rFonts w:ascii="Century Gothic" w:hAnsi="Century Gothic"/>
          <w:sz w:val="20"/>
        </w:rPr>
        <w:t xml:space="preserve">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</w:t>
      </w:r>
      <w:r>
        <w:rPr>
          <w:rFonts w:ascii="Century Gothic" w:hAnsi="Century Gothic"/>
          <w:sz w:val="23"/>
          <w:szCs w:val="23"/>
        </w:rPr>
        <w:t xml:space="preserve">, </w:t>
      </w:r>
      <w:r>
        <w:rPr>
          <w:rFonts w:ascii="Century Gothic" w:hAnsi="Century Gothic"/>
          <w:b/>
          <w:sz w:val="20"/>
        </w:rPr>
        <w:t xml:space="preserve">z uwagi na </w:t>
      </w:r>
      <w:r w:rsidR="00D76042">
        <w:rPr>
          <w:rFonts w:ascii="Century Gothic" w:hAnsi="Century Gothic"/>
          <w:b/>
          <w:sz w:val="20"/>
        </w:rPr>
        <w:t>to ,że cena najkorzystniejszej oferty przewyższa kwotę , która zamawiający zamierza przeznaczyć na sfinansowanie zamówienia</w:t>
      </w:r>
      <w:r>
        <w:rPr>
          <w:rFonts w:ascii="Century Gothic" w:hAnsi="Century Gothic"/>
          <w:b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.</w:t>
      </w:r>
    </w:p>
    <w:p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D423B" w:rsidRPr="00FD423B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D423B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  <w:r w:rsidR="00FF68E5" w:rsidRPr="004A4202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D423B" w:rsidRDefault="00FD423B" w:rsidP="00FD423B">
            <w:pPr>
              <w:jc w:val="center"/>
              <w:rPr>
                <w:color w:val="FF0000"/>
                <w:sz w:val="20"/>
                <w:szCs w:val="20"/>
              </w:rPr>
            </w:pPr>
            <w:proofErr w:type="spellStart"/>
            <w:r w:rsidRPr="0031467D">
              <w:rPr>
                <w:rFonts w:ascii="Calibri" w:hAnsi="Calibri"/>
                <w:sz w:val="20"/>
                <w:szCs w:val="20"/>
              </w:rPr>
              <w:t>APE-LP</w:t>
            </w:r>
            <w:proofErr w:type="spellEnd"/>
            <w:r w:rsidRPr="0031467D">
              <w:rPr>
                <w:rFonts w:ascii="Calibri" w:hAnsi="Calibri"/>
                <w:sz w:val="20"/>
                <w:szCs w:val="20"/>
              </w:rPr>
              <w:t xml:space="preserve"> SP.Z O.O.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31467D">
              <w:rPr>
                <w:rFonts w:ascii="Calibri" w:hAnsi="Calibri"/>
                <w:sz w:val="20"/>
                <w:szCs w:val="20"/>
              </w:rPr>
              <w:t>UL. WAŁY JAGIELLOŃSKIE 1 LOK.1508</w:t>
            </w:r>
            <w:r>
              <w:rPr>
                <w:rFonts w:ascii="Calibri" w:hAnsi="Calibri"/>
                <w:sz w:val="20"/>
                <w:szCs w:val="20"/>
              </w:rPr>
              <w:t>,</w:t>
            </w:r>
            <w:r w:rsidRPr="0031467D">
              <w:rPr>
                <w:rFonts w:ascii="Calibri" w:hAnsi="Calibri"/>
                <w:sz w:val="20"/>
                <w:szCs w:val="20"/>
              </w:rPr>
              <w:t>80-855 GDAŃSK</w:t>
            </w:r>
          </w:p>
          <w:p w:rsidR="00FF68E5" w:rsidRPr="00FD423B" w:rsidRDefault="00FF68E5" w:rsidP="00553745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</w:p>
        </w:tc>
      </w:tr>
      <w:tr w:rsidR="00FD423B" w:rsidRPr="00FD423B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553745" w:rsidRPr="004A4202" w:rsidRDefault="00FD423B" w:rsidP="0055374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  <w:r w:rsidR="00553745" w:rsidRPr="004A4202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:rsidR="00FD423B" w:rsidRDefault="00FD423B" w:rsidP="00FD423B">
            <w:pPr>
              <w:jc w:val="center"/>
              <w:rPr>
                <w:rFonts w:ascii="Calibri" w:hAnsi="Calibri"/>
                <w:kern w:val="0"/>
                <w:sz w:val="20"/>
                <w:szCs w:val="20"/>
                <w:lang w:eastAsia="ar-SA" w:bidi="ar-SA"/>
              </w:rPr>
            </w:pPr>
            <w:r>
              <w:rPr>
                <w:rFonts w:ascii="Calibri" w:hAnsi="Calibri"/>
                <w:sz w:val="20"/>
                <w:szCs w:val="20"/>
              </w:rPr>
              <w:t>MALIBUD FIRMA REMONTOWO BUDOWLANA MARIAN KUDŁACZ UL. NAKIELSKA209,85-391 BYDGOSZCZ</w:t>
            </w:r>
          </w:p>
          <w:p w:rsidR="00553745" w:rsidRPr="00FD423B" w:rsidRDefault="00553745" w:rsidP="00553745">
            <w:pPr>
              <w:jc w:val="center"/>
              <w:rPr>
                <w:rFonts w:ascii="Century Gothic" w:hAnsi="Century Gothic"/>
                <w:color w:val="FF0000"/>
                <w:sz w:val="16"/>
                <w:szCs w:val="16"/>
              </w:rPr>
            </w:pP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F42984">
        <w:rPr>
          <w:rFonts w:ascii="Century Gothic" w:hAnsi="Century Gothic" w:cs="Century Gothic"/>
          <w:sz w:val="18"/>
          <w:szCs w:val="18"/>
        </w:rPr>
        <w:t>Renata Malak</w:t>
      </w:r>
      <w:r w:rsidR="00FD423B">
        <w:rPr>
          <w:rFonts w:ascii="Century Gothic" w:hAnsi="Century Gothic" w:cs="Century Gothic"/>
          <w:sz w:val="18"/>
          <w:szCs w:val="18"/>
        </w:rPr>
        <w:t xml:space="preserve"> 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3A2" w:rsidRDefault="000B63A2" w:rsidP="00A12C26">
      <w:r>
        <w:separator/>
      </w:r>
    </w:p>
  </w:endnote>
  <w:endnote w:type="continuationSeparator" w:id="0">
    <w:p w:rsidR="000B63A2" w:rsidRDefault="000B63A2" w:rsidP="00A12C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3A2" w:rsidRDefault="000B63A2" w:rsidP="00A12C26">
      <w:r>
        <w:separator/>
      </w:r>
    </w:p>
  </w:footnote>
  <w:footnote w:type="continuationSeparator" w:id="0">
    <w:p w:rsidR="000B63A2" w:rsidRDefault="000B63A2" w:rsidP="00A12C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B63A2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2A04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2776D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B8C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3A38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769CC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BF7707"/>
    <w:rsid w:val="00C134F6"/>
    <w:rsid w:val="00C14BD8"/>
    <w:rsid w:val="00C15799"/>
    <w:rsid w:val="00C168E5"/>
    <w:rsid w:val="00C20CE0"/>
    <w:rsid w:val="00C215DF"/>
    <w:rsid w:val="00C223D8"/>
    <w:rsid w:val="00C31B9B"/>
    <w:rsid w:val="00C368C1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1C48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2984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23B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FD423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790</Words>
  <Characters>4743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Martynka</cp:lastModifiedBy>
  <cp:revision>2</cp:revision>
  <cp:lastPrinted>2020-12-09T12:53:00Z</cp:lastPrinted>
  <dcterms:created xsi:type="dcterms:W3CDTF">2020-12-10T11:42:00Z</dcterms:created>
  <dcterms:modified xsi:type="dcterms:W3CDTF">2020-12-10T11:42:00Z</dcterms:modified>
</cp:coreProperties>
</file>