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7B43C" w14:textId="77777777" w:rsidR="003C6238" w:rsidRDefault="003C6238">
      <w:pPr>
        <w:jc w:val="center"/>
        <w:rPr>
          <w:rFonts w:eastAsia="Times New Roman"/>
          <w:b/>
          <w:bCs/>
          <w:sz w:val="20"/>
          <w:szCs w:val="20"/>
        </w:rPr>
      </w:pPr>
    </w:p>
    <w:p w14:paraId="28FA3C3D" w14:textId="77777777" w:rsidR="003C6238" w:rsidRDefault="000B7ECD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PROGRAM</w:t>
      </w:r>
      <w:r w:rsidR="00D10FC9">
        <w:rPr>
          <w:rFonts w:eastAsia="Times New Roman"/>
          <w:b/>
          <w:bCs/>
          <w:sz w:val="24"/>
          <w:szCs w:val="24"/>
        </w:rPr>
        <w:t xml:space="preserve">  </w:t>
      </w:r>
      <w:r w:rsidR="00D10FC9">
        <w:rPr>
          <w:b/>
          <w:bCs/>
          <w:sz w:val="24"/>
          <w:szCs w:val="24"/>
        </w:rPr>
        <w:t>SZKOLENIA</w:t>
      </w: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3963"/>
        <w:gridCol w:w="5249"/>
      </w:tblGrid>
      <w:tr w:rsidR="003C6238" w14:paraId="07633F69" w14:textId="77777777">
        <w:tc>
          <w:tcPr>
            <w:tcW w:w="3963" w:type="dxa"/>
          </w:tcPr>
          <w:p w14:paraId="22E5ACDB" w14:textId="77777777" w:rsidR="003C6238" w:rsidRDefault="00D10FC9">
            <w:pPr>
              <w:rPr>
                <w:szCs w:val="20"/>
              </w:rPr>
            </w:pPr>
            <w:r>
              <w:rPr>
                <w:rFonts w:eastAsia="Times New Roman"/>
                <w:szCs w:val="20"/>
              </w:rPr>
              <w:t>Jednostka organizacyjna</w:t>
            </w:r>
          </w:p>
        </w:tc>
        <w:tc>
          <w:tcPr>
            <w:tcW w:w="5248" w:type="dxa"/>
          </w:tcPr>
          <w:p w14:paraId="602505FA" w14:textId="77777777" w:rsidR="003C6238" w:rsidRPr="00C76EA6" w:rsidRDefault="00F6113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76EA6">
              <w:rPr>
                <w:rFonts w:asciiTheme="minorHAnsi" w:hAnsiTheme="minorHAnsi" w:cstheme="minorHAnsi"/>
                <w:sz w:val="24"/>
                <w:szCs w:val="24"/>
              </w:rPr>
              <w:t>Wydział Nauk o Kulturze</w:t>
            </w:r>
          </w:p>
        </w:tc>
      </w:tr>
      <w:tr w:rsidR="003C6238" w14:paraId="350C4C66" w14:textId="77777777">
        <w:tc>
          <w:tcPr>
            <w:tcW w:w="3963" w:type="dxa"/>
          </w:tcPr>
          <w:p w14:paraId="05844EBA" w14:textId="77777777" w:rsidR="003C6238" w:rsidRDefault="00D10FC9">
            <w:pPr>
              <w:rPr>
                <w:szCs w:val="20"/>
              </w:rPr>
            </w:pPr>
            <w:r>
              <w:rPr>
                <w:rFonts w:eastAsia="Times New Roman"/>
                <w:szCs w:val="20"/>
              </w:rPr>
              <w:t>Nazwa szkolenia</w:t>
            </w:r>
          </w:p>
        </w:tc>
        <w:tc>
          <w:tcPr>
            <w:tcW w:w="5248" w:type="dxa"/>
          </w:tcPr>
          <w:p w14:paraId="3FCCF629" w14:textId="77777777" w:rsidR="003C6238" w:rsidRPr="00C76EA6" w:rsidRDefault="00D10FC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76EA6">
              <w:rPr>
                <w:rStyle w:val="Uwydatnienie"/>
                <w:rFonts w:asciiTheme="minorHAnsi" w:hAnsiTheme="minorHAnsi" w:cstheme="minorHAnsi"/>
                <w:b/>
                <w:bCs/>
                <w:i w:val="0"/>
                <w:color w:val="222222"/>
                <w:sz w:val="24"/>
                <w:szCs w:val="24"/>
                <w:lang w:eastAsia="en-US"/>
              </w:rPr>
              <w:t>Projektowanie uniwersalne gier planszowych</w:t>
            </w:r>
          </w:p>
        </w:tc>
      </w:tr>
      <w:tr w:rsidR="003C6238" w14:paraId="77D59F11" w14:textId="77777777">
        <w:tc>
          <w:tcPr>
            <w:tcW w:w="3963" w:type="dxa"/>
          </w:tcPr>
          <w:p w14:paraId="33DBC62A" w14:textId="77777777" w:rsidR="003C6238" w:rsidRDefault="00D10FC9">
            <w:pPr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Liczba godzin</w:t>
            </w:r>
          </w:p>
        </w:tc>
        <w:tc>
          <w:tcPr>
            <w:tcW w:w="5248" w:type="dxa"/>
          </w:tcPr>
          <w:p w14:paraId="114DFC52" w14:textId="77777777" w:rsidR="003C6238" w:rsidRPr="00C76EA6" w:rsidRDefault="00D10FC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76EA6">
              <w:rPr>
                <w:rFonts w:asciiTheme="minorHAnsi" w:hAnsiTheme="minorHAnsi" w:cstheme="minorHAnsi"/>
                <w:sz w:val="24"/>
                <w:szCs w:val="24"/>
              </w:rPr>
              <w:t>24</w:t>
            </w:r>
          </w:p>
        </w:tc>
      </w:tr>
      <w:tr w:rsidR="003C6238" w14:paraId="136414CF" w14:textId="77777777">
        <w:tc>
          <w:tcPr>
            <w:tcW w:w="3963" w:type="dxa"/>
          </w:tcPr>
          <w:p w14:paraId="594441BD" w14:textId="77777777" w:rsidR="003C6238" w:rsidRDefault="00D10FC9">
            <w:pPr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Warunki rekrutacji</w:t>
            </w:r>
          </w:p>
        </w:tc>
        <w:tc>
          <w:tcPr>
            <w:tcW w:w="5248" w:type="dxa"/>
          </w:tcPr>
          <w:p w14:paraId="2A9AE586" w14:textId="77777777" w:rsidR="003C6238" w:rsidRPr="00C76EA6" w:rsidRDefault="00F6113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76EA6">
              <w:rPr>
                <w:rFonts w:asciiTheme="minorHAnsi" w:hAnsiTheme="minorHAnsi" w:cstheme="minorHAnsi"/>
                <w:sz w:val="24"/>
                <w:szCs w:val="24"/>
              </w:rPr>
              <w:t>Wiek 18-64</w:t>
            </w:r>
          </w:p>
        </w:tc>
      </w:tr>
      <w:tr w:rsidR="003C6238" w14:paraId="4EBFF434" w14:textId="77777777">
        <w:tc>
          <w:tcPr>
            <w:tcW w:w="3963" w:type="dxa"/>
          </w:tcPr>
          <w:p w14:paraId="017EF57C" w14:textId="77777777" w:rsidR="003C6238" w:rsidRDefault="00D10FC9">
            <w:pPr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Wymagane kwalifikacje od kandydatów</w:t>
            </w:r>
          </w:p>
        </w:tc>
        <w:tc>
          <w:tcPr>
            <w:tcW w:w="5248" w:type="dxa"/>
          </w:tcPr>
          <w:p w14:paraId="7E9C56EE" w14:textId="77777777" w:rsidR="003C6238" w:rsidRPr="00C76EA6" w:rsidRDefault="00C76EA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76EA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Praca lub zamiar podjęcia działalności w sektorze gier</w:t>
            </w:r>
          </w:p>
        </w:tc>
      </w:tr>
      <w:tr w:rsidR="003C6238" w14:paraId="4A59F333" w14:textId="77777777">
        <w:tc>
          <w:tcPr>
            <w:tcW w:w="3963" w:type="dxa"/>
          </w:tcPr>
          <w:p w14:paraId="35084B21" w14:textId="77777777" w:rsidR="003C6238" w:rsidRDefault="00D10FC9">
            <w:pPr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Warunki ukończenia szkolenia</w:t>
            </w:r>
          </w:p>
        </w:tc>
        <w:tc>
          <w:tcPr>
            <w:tcW w:w="5248" w:type="dxa"/>
          </w:tcPr>
          <w:p w14:paraId="1A36FB78" w14:textId="77777777" w:rsidR="003C6238" w:rsidRPr="00C76EA6" w:rsidRDefault="00D10FC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76EA6">
              <w:rPr>
                <w:rFonts w:asciiTheme="minorHAnsi" w:hAnsiTheme="minorHAnsi" w:cstheme="minorHAnsi"/>
                <w:sz w:val="24"/>
                <w:szCs w:val="24"/>
              </w:rPr>
              <w:t>Zaliczenie (obecność)</w:t>
            </w:r>
          </w:p>
        </w:tc>
      </w:tr>
      <w:tr w:rsidR="003C6238" w14:paraId="0252FB36" w14:textId="77777777">
        <w:tc>
          <w:tcPr>
            <w:tcW w:w="3963" w:type="dxa"/>
          </w:tcPr>
          <w:p w14:paraId="77D3C5BD" w14:textId="77777777" w:rsidR="003C6238" w:rsidRDefault="00D10FC9">
            <w:pPr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Uzyskane kwalifikacji lub</w:t>
            </w:r>
            <w:r>
              <w:rPr>
                <w:szCs w:val="20"/>
              </w:rPr>
              <w:t xml:space="preserve"> </w:t>
            </w:r>
            <w:r>
              <w:rPr>
                <w:rFonts w:eastAsia="Times New Roman"/>
                <w:szCs w:val="20"/>
              </w:rPr>
              <w:t>uprawnień</w:t>
            </w:r>
          </w:p>
        </w:tc>
        <w:tc>
          <w:tcPr>
            <w:tcW w:w="5248" w:type="dxa"/>
          </w:tcPr>
          <w:p w14:paraId="1255D82D" w14:textId="77777777" w:rsidR="003C6238" w:rsidRPr="00C76EA6" w:rsidRDefault="00D10FC9">
            <w:pPr>
              <w:pStyle w:val="NormalnyWeb"/>
              <w:spacing w:beforeAutospacing="0" w:afterAutospacing="0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C76EA6">
              <w:rPr>
                <w:rFonts w:asciiTheme="minorHAnsi" w:hAnsiTheme="minorHAnsi" w:cstheme="minorHAnsi"/>
              </w:rPr>
              <w:t>Mikropoświadczenie</w:t>
            </w:r>
            <w:proofErr w:type="spellEnd"/>
          </w:p>
        </w:tc>
      </w:tr>
    </w:tbl>
    <w:p w14:paraId="447BF752" w14:textId="77777777" w:rsidR="003C6238" w:rsidRDefault="003C6238">
      <w:pPr>
        <w:rPr>
          <w:sz w:val="20"/>
          <w:szCs w:val="20"/>
        </w:rPr>
      </w:pPr>
    </w:p>
    <w:p w14:paraId="62CBE12D" w14:textId="77777777" w:rsidR="003C6238" w:rsidRDefault="003C6238"/>
    <w:tbl>
      <w:tblPr>
        <w:tblW w:w="922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"/>
        <w:gridCol w:w="1198"/>
        <w:gridCol w:w="6221"/>
        <w:gridCol w:w="1436"/>
      </w:tblGrid>
      <w:tr w:rsidR="003C6238" w14:paraId="4E7C7528" w14:textId="77777777"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A6AC4" w14:textId="77777777" w:rsidR="003C6238" w:rsidRDefault="00D10FC9">
            <w:pPr>
              <w:spacing w:beforeAutospacing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EBEDD" w14:textId="77777777" w:rsidR="003C6238" w:rsidRDefault="00D10FC9">
            <w:pPr>
              <w:spacing w:beforeAutospacing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Symbol efektów uczenia się̨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D0013" w14:textId="77777777" w:rsidR="003C6238" w:rsidRDefault="00D10FC9" w:rsidP="007008B8">
            <w:pPr>
              <w:spacing w:before="100" w:beforeAutospacing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Efekty uczenia się̨ dla szkolenia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89FEF" w14:textId="77777777" w:rsidR="003C6238" w:rsidRDefault="00D10FC9">
            <w:pPr>
              <w:spacing w:beforeAutospacing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Odniesienie do charakterystyk drugiego stopnia PRK (symbol kodu)</w:t>
            </w:r>
          </w:p>
        </w:tc>
      </w:tr>
      <w:tr w:rsidR="003C6238" w14:paraId="09D4866C" w14:textId="77777777">
        <w:tc>
          <w:tcPr>
            <w:tcW w:w="92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75780" w14:textId="77777777" w:rsidR="003C6238" w:rsidRDefault="00D10FC9">
            <w:pPr>
              <w:spacing w:beforeAutospacing="1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4"/>
                <w:szCs w:val="20"/>
              </w:rPr>
              <w:t>Wiedza, słuchacz zna:</w:t>
            </w:r>
          </w:p>
        </w:tc>
      </w:tr>
      <w:tr w:rsidR="003C6238" w14:paraId="111C2EAA" w14:textId="77777777"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58433" w14:textId="77777777" w:rsidR="003C6238" w:rsidRDefault="00D10FC9">
            <w:pPr>
              <w:spacing w:before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D5D63" w14:textId="77777777" w:rsidR="003C6238" w:rsidRDefault="00D10FC9">
            <w:pPr>
              <w:spacing w:before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K_W01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47608" w14:textId="77777777" w:rsidR="003C6238" w:rsidRDefault="00D10FC9">
            <w:r>
              <w:t>zna i rozumie główne obszary projektowania uniwersalnego w grach planszowych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0ED4A" w14:textId="77777777" w:rsidR="003C6238" w:rsidRDefault="00D10FC9">
            <w:pPr>
              <w:rPr>
                <w:rFonts w:eastAsia="Times New Roman"/>
                <w:sz w:val="20"/>
                <w:szCs w:val="20"/>
              </w:rPr>
            </w:pPr>
            <w:r>
              <w:t>P6S_WG</w:t>
            </w:r>
          </w:p>
        </w:tc>
      </w:tr>
      <w:tr w:rsidR="003C6238" w14:paraId="4EDAE64C" w14:textId="77777777"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6F020" w14:textId="77777777" w:rsidR="003C6238" w:rsidRDefault="00D10FC9">
            <w:pPr>
              <w:spacing w:before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6B03A" w14:textId="77777777" w:rsidR="003C6238" w:rsidRDefault="00D10FC9">
            <w:pPr>
              <w:spacing w:before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K_W02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3682E" w14:textId="77777777" w:rsidR="003C6238" w:rsidRDefault="00D10FC9">
            <w:r>
              <w:t>zna i rozumie technologiczne uwarunkowania zastosowania rozwiązań z zakresu dostępności w grach planszowych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07A27" w14:textId="77777777" w:rsidR="003C6238" w:rsidRDefault="00D10FC9">
            <w:pPr>
              <w:rPr>
                <w:rFonts w:eastAsia="Times New Roman"/>
                <w:sz w:val="20"/>
                <w:szCs w:val="20"/>
              </w:rPr>
            </w:pPr>
            <w:r>
              <w:t>P6S_WG</w:t>
            </w:r>
          </w:p>
        </w:tc>
      </w:tr>
      <w:tr w:rsidR="003C6238" w14:paraId="2D2F2AC3" w14:textId="77777777">
        <w:tc>
          <w:tcPr>
            <w:tcW w:w="92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1D5AD" w14:textId="77777777" w:rsidR="003C6238" w:rsidRDefault="00D10FC9">
            <w:pPr>
              <w:spacing w:beforeAutospacing="1"/>
              <w:jc w:val="center"/>
              <w:rPr>
                <w:b/>
                <w:i/>
                <w:sz w:val="24"/>
                <w:szCs w:val="20"/>
              </w:rPr>
            </w:pPr>
            <w:r>
              <w:rPr>
                <w:b/>
                <w:i/>
                <w:sz w:val="24"/>
                <w:szCs w:val="20"/>
              </w:rPr>
              <w:t>Umiejętności, słuchacz potrafi:</w:t>
            </w:r>
          </w:p>
        </w:tc>
      </w:tr>
      <w:tr w:rsidR="003C6238" w14:paraId="1529AA1C" w14:textId="77777777">
        <w:trPr>
          <w:trHeight w:val="181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83750" w14:textId="77777777" w:rsidR="003C6238" w:rsidRDefault="00D10FC9">
            <w:pPr>
              <w:spacing w:before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E9B94" w14:textId="77777777" w:rsidR="003C6238" w:rsidRDefault="00D10FC9">
            <w:pPr>
              <w:spacing w:before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K_U01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35A5B" w14:textId="77777777" w:rsidR="003C6238" w:rsidRDefault="00D10FC9">
            <w:r>
              <w:t xml:space="preserve"> potrafi samodzielnie rozwiązywać problemy w obszarze projektowania uniwersalnego w grach planszowych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E0383" w14:textId="77777777" w:rsidR="003C6238" w:rsidRDefault="00D10FC9">
            <w:pPr>
              <w:rPr>
                <w:rFonts w:eastAsia="Times New Roman"/>
                <w:sz w:val="20"/>
                <w:szCs w:val="20"/>
              </w:rPr>
            </w:pPr>
            <w:r>
              <w:t>P6S_UW</w:t>
            </w:r>
          </w:p>
        </w:tc>
      </w:tr>
      <w:tr w:rsidR="003C6238" w14:paraId="299070B1" w14:textId="77777777">
        <w:tc>
          <w:tcPr>
            <w:tcW w:w="92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FAEC3" w14:textId="77777777" w:rsidR="003C6238" w:rsidRDefault="00D10FC9">
            <w:pPr>
              <w:spacing w:beforeAutospacing="1"/>
              <w:jc w:val="center"/>
              <w:rPr>
                <w:b/>
                <w:i/>
                <w:sz w:val="24"/>
                <w:szCs w:val="20"/>
              </w:rPr>
            </w:pPr>
            <w:r>
              <w:rPr>
                <w:b/>
                <w:i/>
                <w:sz w:val="24"/>
                <w:szCs w:val="20"/>
              </w:rPr>
              <w:t>Kompetencje społeczne</w:t>
            </w:r>
          </w:p>
        </w:tc>
      </w:tr>
      <w:tr w:rsidR="003C6238" w14:paraId="6D836D7F" w14:textId="77777777"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007E6" w14:textId="77777777" w:rsidR="003C6238" w:rsidRDefault="00D10FC9">
            <w:pPr>
              <w:spacing w:before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BD4FA" w14:textId="77777777" w:rsidR="003C6238" w:rsidRDefault="00D10FC9">
            <w:pPr>
              <w:spacing w:before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K_K01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64D2B" w14:textId="77777777" w:rsidR="003C6238" w:rsidRDefault="00D10FC9">
            <w:r>
              <w:t xml:space="preserve">jest gotów do podejmowania działań na rzecz dostępności i </w:t>
            </w:r>
            <w:proofErr w:type="spellStart"/>
            <w:r>
              <w:t>inkluzywności</w:t>
            </w:r>
            <w:proofErr w:type="spellEnd"/>
            <w:r>
              <w:t xml:space="preserve"> oraz zielonej transformacji na rynku gier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B3600" w14:textId="77777777" w:rsidR="003C6238" w:rsidRDefault="00D10FC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P6S_KO</w:t>
            </w:r>
          </w:p>
        </w:tc>
      </w:tr>
    </w:tbl>
    <w:p w14:paraId="660C969F" w14:textId="77777777" w:rsidR="003C6238" w:rsidRDefault="003C62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0BFB4AC6" w14:textId="77777777" w:rsidR="003C6238" w:rsidRDefault="003C6238">
      <w:pPr>
        <w:spacing w:line="254" w:lineRule="exact"/>
        <w:rPr>
          <w:sz w:val="20"/>
          <w:szCs w:val="20"/>
        </w:rPr>
      </w:pPr>
    </w:p>
    <w:p w14:paraId="42704ED1" w14:textId="77777777" w:rsidR="003C6238" w:rsidRDefault="00D10FC9">
      <w:pPr>
        <w:ind w:left="-142"/>
        <w:rPr>
          <w:sz w:val="20"/>
          <w:szCs w:val="20"/>
        </w:rPr>
      </w:pPr>
      <w:r>
        <w:rPr>
          <w:rFonts w:eastAsia="Times New Roman"/>
        </w:rPr>
        <w:t>Plan szkolenia:</w:t>
      </w:r>
    </w:p>
    <w:p w14:paraId="698C8D4D" w14:textId="77777777" w:rsidR="003C6238" w:rsidRDefault="003C6238"/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608"/>
        <w:gridCol w:w="3923"/>
        <w:gridCol w:w="2552"/>
        <w:gridCol w:w="2126"/>
      </w:tblGrid>
      <w:tr w:rsidR="003C6238" w14:paraId="487E06CA" w14:textId="77777777">
        <w:tc>
          <w:tcPr>
            <w:tcW w:w="607" w:type="dxa"/>
            <w:vAlign w:val="center"/>
          </w:tcPr>
          <w:p w14:paraId="5015B9F5" w14:textId="77777777" w:rsidR="003C6238" w:rsidRDefault="00D10FC9">
            <w:pPr>
              <w:rPr>
                <w:sz w:val="20"/>
                <w:szCs w:val="20"/>
              </w:rPr>
            </w:pPr>
            <w:r>
              <w:rPr>
                <w:b/>
                <w:szCs w:val="20"/>
              </w:rPr>
              <w:t>Lp.</w:t>
            </w:r>
          </w:p>
        </w:tc>
        <w:tc>
          <w:tcPr>
            <w:tcW w:w="3923" w:type="dxa"/>
            <w:vAlign w:val="center"/>
          </w:tcPr>
          <w:p w14:paraId="6C8BD6ED" w14:textId="77777777" w:rsidR="003C6238" w:rsidRDefault="00D10FC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szCs w:val="20"/>
              </w:rPr>
              <w:t>Nazwa przedmiotu</w:t>
            </w:r>
          </w:p>
        </w:tc>
        <w:tc>
          <w:tcPr>
            <w:tcW w:w="2552" w:type="dxa"/>
            <w:vAlign w:val="center"/>
          </w:tcPr>
          <w:p w14:paraId="4BC123A7" w14:textId="77777777" w:rsidR="003C6238" w:rsidRDefault="00D10F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Cs w:val="20"/>
              </w:rPr>
              <w:t>Liczba godzin</w:t>
            </w:r>
          </w:p>
        </w:tc>
        <w:tc>
          <w:tcPr>
            <w:tcW w:w="2126" w:type="dxa"/>
            <w:vAlign w:val="center"/>
          </w:tcPr>
          <w:p w14:paraId="4B81AAB0" w14:textId="77777777" w:rsidR="003C6238" w:rsidRDefault="00D10F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Cs w:val="20"/>
              </w:rPr>
              <w:t>Liczba punktów ECTS</w:t>
            </w:r>
          </w:p>
        </w:tc>
      </w:tr>
      <w:tr w:rsidR="003C6238" w14:paraId="2C056521" w14:textId="77777777">
        <w:tc>
          <w:tcPr>
            <w:tcW w:w="607" w:type="dxa"/>
          </w:tcPr>
          <w:p w14:paraId="25D75FF5" w14:textId="77777777" w:rsidR="003C6238" w:rsidRDefault="003C6238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3923" w:type="dxa"/>
          </w:tcPr>
          <w:p w14:paraId="5288F50C" w14:textId="77777777" w:rsidR="003C6238" w:rsidRDefault="00D10FC9">
            <w:pPr>
              <w:widowControl w:val="0"/>
              <w:ind w:left="720"/>
            </w:pPr>
            <w:r>
              <w:rPr>
                <w:rStyle w:val="Uwydatnienie"/>
                <w:rFonts w:cs="Arial;Helvetica"/>
                <w:i w:val="0"/>
                <w:iCs w:val="0"/>
                <w:color w:val="222222"/>
                <w:lang w:eastAsia="en-US"/>
              </w:rPr>
              <w:t>reguły projektowania uniwersalnego</w:t>
            </w:r>
          </w:p>
          <w:p w14:paraId="6B2DAC4B" w14:textId="77777777" w:rsidR="003C6238" w:rsidRDefault="003C6238">
            <w:pPr>
              <w:widowControl w:val="0"/>
            </w:pPr>
          </w:p>
        </w:tc>
        <w:tc>
          <w:tcPr>
            <w:tcW w:w="2552" w:type="dxa"/>
          </w:tcPr>
          <w:p w14:paraId="52379867" w14:textId="77777777" w:rsidR="003C6238" w:rsidRDefault="00D10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14:paraId="39DE9BA2" w14:textId="77777777" w:rsidR="003C6238" w:rsidRDefault="00D10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C6238" w14:paraId="17685E02" w14:textId="77777777">
        <w:tc>
          <w:tcPr>
            <w:tcW w:w="607" w:type="dxa"/>
          </w:tcPr>
          <w:p w14:paraId="66055D35" w14:textId="77777777" w:rsidR="003C6238" w:rsidRDefault="003C6238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3923" w:type="dxa"/>
          </w:tcPr>
          <w:p w14:paraId="76D59943" w14:textId="77777777" w:rsidR="003C6238" w:rsidRDefault="00D10FC9">
            <w:pPr>
              <w:widowControl w:val="0"/>
              <w:ind w:left="720"/>
            </w:pPr>
            <w:r>
              <w:rPr>
                <w:rStyle w:val="Uwydatnienie"/>
                <w:rFonts w:cs="Arial;Helvetica"/>
                <w:i w:val="0"/>
                <w:iCs w:val="0"/>
                <w:color w:val="222222"/>
                <w:lang w:eastAsia="en-US"/>
              </w:rPr>
              <w:t>badanie potrzeb użytkowników rynku gier planszowych</w:t>
            </w:r>
          </w:p>
        </w:tc>
        <w:tc>
          <w:tcPr>
            <w:tcW w:w="2552" w:type="dxa"/>
          </w:tcPr>
          <w:p w14:paraId="7B658577" w14:textId="77777777" w:rsidR="003C6238" w:rsidRDefault="00D10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14:paraId="00BE1641" w14:textId="77777777" w:rsidR="003C6238" w:rsidRDefault="003C6238">
            <w:pPr>
              <w:jc w:val="center"/>
              <w:rPr>
                <w:sz w:val="20"/>
                <w:szCs w:val="20"/>
              </w:rPr>
            </w:pPr>
          </w:p>
        </w:tc>
      </w:tr>
      <w:tr w:rsidR="003C6238" w14:paraId="5271A1B0" w14:textId="77777777">
        <w:trPr>
          <w:trHeight w:val="225"/>
        </w:trPr>
        <w:tc>
          <w:tcPr>
            <w:tcW w:w="607" w:type="dxa"/>
          </w:tcPr>
          <w:p w14:paraId="19EB3484" w14:textId="77777777" w:rsidR="003C6238" w:rsidRDefault="003C6238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3923" w:type="dxa"/>
          </w:tcPr>
          <w:p w14:paraId="6F4A7D5C" w14:textId="77777777" w:rsidR="003C6238" w:rsidRDefault="00D10FC9">
            <w:pPr>
              <w:widowControl w:val="0"/>
              <w:ind w:left="720"/>
            </w:pPr>
            <w:r>
              <w:rPr>
                <w:rStyle w:val="Uwydatnienie"/>
                <w:rFonts w:cs="Arial;Helvetica"/>
                <w:i w:val="0"/>
                <w:iCs w:val="0"/>
                <w:color w:val="222222"/>
                <w:lang w:eastAsia="en-US"/>
              </w:rPr>
              <w:t>wyzwania technologiczne, warunki druku</w:t>
            </w:r>
          </w:p>
        </w:tc>
        <w:tc>
          <w:tcPr>
            <w:tcW w:w="2552" w:type="dxa"/>
          </w:tcPr>
          <w:p w14:paraId="17B82CF8" w14:textId="77777777" w:rsidR="003C6238" w:rsidRDefault="00D10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14:paraId="0FA1EF9A" w14:textId="77777777" w:rsidR="003C6238" w:rsidRDefault="003C6238">
            <w:pPr>
              <w:jc w:val="center"/>
              <w:rPr>
                <w:sz w:val="20"/>
                <w:szCs w:val="20"/>
              </w:rPr>
            </w:pPr>
          </w:p>
        </w:tc>
      </w:tr>
      <w:tr w:rsidR="003C6238" w14:paraId="4AA368B2" w14:textId="77777777">
        <w:tc>
          <w:tcPr>
            <w:tcW w:w="607" w:type="dxa"/>
          </w:tcPr>
          <w:p w14:paraId="6C54C65C" w14:textId="77777777" w:rsidR="003C6238" w:rsidRDefault="003C6238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3923" w:type="dxa"/>
          </w:tcPr>
          <w:p w14:paraId="0B4AA712" w14:textId="77777777" w:rsidR="003C6238" w:rsidRDefault="00D10FC9">
            <w:pPr>
              <w:widowControl w:val="0"/>
              <w:ind w:left="720"/>
            </w:pPr>
            <w:r>
              <w:rPr>
                <w:rStyle w:val="Uwydatnienie"/>
                <w:rFonts w:cs="Arial;Helvetica"/>
                <w:i w:val="0"/>
                <w:iCs w:val="0"/>
                <w:color w:val="222222"/>
                <w:lang w:eastAsia="en-US"/>
              </w:rPr>
              <w:t>wybrane rozwiązania i praktyki obecne na rynku gier planszowych</w:t>
            </w:r>
          </w:p>
        </w:tc>
        <w:tc>
          <w:tcPr>
            <w:tcW w:w="2552" w:type="dxa"/>
          </w:tcPr>
          <w:p w14:paraId="49F80387" w14:textId="77777777" w:rsidR="003C6238" w:rsidRDefault="00D10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14:paraId="4AAC2F67" w14:textId="77777777" w:rsidR="003C6238" w:rsidRDefault="00D10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C6238" w14:paraId="45CAA277" w14:textId="77777777">
        <w:tc>
          <w:tcPr>
            <w:tcW w:w="607" w:type="dxa"/>
          </w:tcPr>
          <w:p w14:paraId="79F44C2D" w14:textId="77777777" w:rsidR="003C6238" w:rsidRDefault="003C6238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3923" w:type="dxa"/>
          </w:tcPr>
          <w:p w14:paraId="2C1B608C" w14:textId="77777777" w:rsidR="003C6238" w:rsidRDefault="00D10FC9">
            <w:pPr>
              <w:pStyle w:val="NormalnyWeb"/>
              <w:spacing w:beforeAutospacing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Narzędzia rozszerzonej rzeczywistości dla  gier planszowych</w:t>
            </w:r>
          </w:p>
        </w:tc>
        <w:tc>
          <w:tcPr>
            <w:tcW w:w="2552" w:type="dxa"/>
          </w:tcPr>
          <w:p w14:paraId="31539AA0" w14:textId="77777777" w:rsidR="003C6238" w:rsidRDefault="00D10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14:paraId="6F5FB5B4" w14:textId="77777777" w:rsidR="003C6238" w:rsidRDefault="003C6238">
            <w:pPr>
              <w:jc w:val="center"/>
              <w:rPr>
                <w:sz w:val="20"/>
                <w:szCs w:val="20"/>
              </w:rPr>
            </w:pPr>
          </w:p>
        </w:tc>
      </w:tr>
      <w:tr w:rsidR="003C6238" w14:paraId="3C630338" w14:textId="77777777">
        <w:tc>
          <w:tcPr>
            <w:tcW w:w="607" w:type="dxa"/>
          </w:tcPr>
          <w:p w14:paraId="09C7949D" w14:textId="77777777" w:rsidR="003C6238" w:rsidRDefault="003C6238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3923" w:type="dxa"/>
          </w:tcPr>
          <w:p w14:paraId="489CF54B" w14:textId="77777777" w:rsidR="003C6238" w:rsidRDefault="00D10FC9">
            <w:pPr>
              <w:widowControl w:val="0"/>
            </w:pPr>
            <w:r>
              <w:rPr>
                <w:rStyle w:val="Uwydatnienie"/>
                <w:rFonts w:cs="Arial;Helvetica"/>
                <w:i w:val="0"/>
                <w:iCs w:val="0"/>
                <w:color w:val="222222"/>
                <w:lang w:eastAsia="en-US"/>
              </w:rPr>
              <w:t>od projektu do prototypu, od prototypu do produktu</w:t>
            </w:r>
          </w:p>
        </w:tc>
        <w:tc>
          <w:tcPr>
            <w:tcW w:w="2552" w:type="dxa"/>
          </w:tcPr>
          <w:p w14:paraId="487B292B" w14:textId="77777777" w:rsidR="003C6238" w:rsidRDefault="00D10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14:paraId="37E7382E" w14:textId="77777777" w:rsidR="003C6238" w:rsidRDefault="00D10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C6238" w14:paraId="336DF3AE" w14:textId="77777777">
        <w:tc>
          <w:tcPr>
            <w:tcW w:w="607" w:type="dxa"/>
          </w:tcPr>
          <w:p w14:paraId="3D7F5243" w14:textId="77777777" w:rsidR="003C6238" w:rsidRDefault="003C6238">
            <w:pPr>
              <w:rPr>
                <w:sz w:val="20"/>
                <w:szCs w:val="20"/>
              </w:rPr>
            </w:pPr>
          </w:p>
        </w:tc>
        <w:tc>
          <w:tcPr>
            <w:tcW w:w="3923" w:type="dxa"/>
          </w:tcPr>
          <w:p w14:paraId="5883A2CA" w14:textId="77777777" w:rsidR="003C6238" w:rsidRDefault="00D10FC9">
            <w:pPr>
              <w:pStyle w:val="NormalnyWeb"/>
              <w:spacing w:beforeAutospacing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RAZEM</w:t>
            </w:r>
          </w:p>
        </w:tc>
        <w:tc>
          <w:tcPr>
            <w:tcW w:w="2552" w:type="dxa"/>
          </w:tcPr>
          <w:p w14:paraId="4D09000A" w14:textId="77777777" w:rsidR="003C6238" w:rsidRDefault="00D10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126" w:type="dxa"/>
          </w:tcPr>
          <w:p w14:paraId="6D53659C" w14:textId="77777777" w:rsidR="003C6238" w:rsidRDefault="00D10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1C2A242B" w14:textId="77777777" w:rsidR="003C6238" w:rsidRDefault="003C6238">
      <w:pPr>
        <w:rPr>
          <w:rFonts w:eastAsia="Times New Roman"/>
        </w:rPr>
      </w:pPr>
    </w:p>
    <w:p w14:paraId="17BA43D0" w14:textId="77777777" w:rsidR="003C6238" w:rsidRDefault="003C6238">
      <w:pPr>
        <w:rPr>
          <w:rFonts w:eastAsia="Times New Roman"/>
        </w:rPr>
      </w:pPr>
    </w:p>
    <w:sectPr w:rsidR="003C6238" w:rsidSect="007008B8">
      <w:headerReference w:type="default" r:id="rId11"/>
      <w:pgSz w:w="11906" w:h="16838"/>
      <w:pgMar w:top="720" w:right="720" w:bottom="720" w:left="720" w:header="0" w:footer="0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43FD0" w14:textId="77777777" w:rsidR="00EC48D2" w:rsidRDefault="00EC48D2" w:rsidP="007008B8">
      <w:r>
        <w:separator/>
      </w:r>
    </w:p>
  </w:endnote>
  <w:endnote w:type="continuationSeparator" w:id="0">
    <w:p w14:paraId="7442D7C6" w14:textId="77777777" w:rsidR="00EC48D2" w:rsidRDefault="00EC48D2" w:rsidP="00700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;Helvetica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8EDDE" w14:textId="77777777" w:rsidR="00EC48D2" w:rsidRDefault="00EC48D2" w:rsidP="007008B8">
      <w:r>
        <w:separator/>
      </w:r>
    </w:p>
  </w:footnote>
  <w:footnote w:type="continuationSeparator" w:id="0">
    <w:p w14:paraId="6C111C6D" w14:textId="77777777" w:rsidR="00EC48D2" w:rsidRDefault="00EC48D2" w:rsidP="00700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0FF0C" w14:textId="72D10231" w:rsidR="007008B8" w:rsidRDefault="007008B8">
    <w:pPr>
      <w:pStyle w:val="Nagwek"/>
    </w:pPr>
    <w:r>
      <w:rPr>
        <w:noProof/>
      </w:rPr>
      <w:drawing>
        <wp:inline distT="0" distB="0" distL="0" distR="0" wp14:anchorId="5B45F63C" wp14:editId="26045196">
          <wp:extent cx="4714875" cy="680720"/>
          <wp:effectExtent l="0" t="0" r="9525" b="5080"/>
          <wp:docPr id="1" name="Obraz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454" b="13518"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8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07BEFA" w14:textId="77777777" w:rsidR="007008B8" w:rsidRDefault="007008B8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A46A5"/>
    <w:multiLevelType w:val="multilevel"/>
    <w:tmpl w:val="ED0A5F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5C46046"/>
    <w:multiLevelType w:val="multilevel"/>
    <w:tmpl w:val="62E8C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D705DCD"/>
    <w:multiLevelType w:val="multilevel"/>
    <w:tmpl w:val="BC9EA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238"/>
    <w:rsid w:val="000B7ECD"/>
    <w:rsid w:val="003C6238"/>
    <w:rsid w:val="007008B8"/>
    <w:rsid w:val="00C76EA6"/>
    <w:rsid w:val="00D10FC9"/>
    <w:rsid w:val="00EC48D2"/>
    <w:rsid w:val="00F6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EFCDF"/>
  <w15:docId w15:val="{2D36F632-F7B2-4B33-A0E9-BB286B779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5DA4"/>
    <w:rPr>
      <w:rFonts w:ascii="Times New Roman" w:eastAsiaTheme="minorEastAsia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E4766"/>
    <w:rPr>
      <w:sz w:val="18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2E4766"/>
    <w:rPr>
      <w:rFonts w:eastAsiaTheme="minorEastAsia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E4766"/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77A34"/>
    <w:rPr>
      <w:rFonts w:ascii="Times New Roman" w:eastAsiaTheme="minorEastAsia" w:hAnsi="Times New Roman" w:cs="Times New Roman"/>
      <w:b/>
      <w:bCs/>
      <w:sz w:val="20"/>
      <w:szCs w:val="20"/>
      <w:lang w:eastAsia="pl-PL"/>
    </w:rPr>
  </w:style>
  <w:style w:type="character" w:styleId="Uwydatnienie">
    <w:name w:val="Emphasis"/>
    <w:basedOn w:val="Domylnaczcionkaakapitu"/>
    <w:qFormat/>
    <w:rPr>
      <w:i/>
      <w:iCs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4766"/>
    <w:rPr>
      <w:rFonts w:asciiTheme="minorHAnsi" w:hAnsiTheme="minorHAnsi" w:cstheme="minorBidi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E476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qFormat/>
    <w:rsid w:val="00BD3052"/>
    <w:pPr>
      <w:spacing w:beforeAutospacing="1" w:afterAutospacing="1"/>
    </w:pPr>
    <w:rPr>
      <w:rFonts w:eastAsia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392016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77A34"/>
    <w:rPr>
      <w:rFonts w:ascii="Times New Roman" w:hAnsi="Times New Roman" w:cs="Times New Roman"/>
      <w:b/>
      <w:bCs/>
      <w:sz w:val="20"/>
      <w:szCs w:val="20"/>
    </w:rPr>
  </w:style>
  <w:style w:type="numbering" w:customStyle="1" w:styleId="WW8Num2">
    <w:name w:val="WW8Num2"/>
    <w:qFormat/>
  </w:style>
  <w:style w:type="table" w:styleId="Tabela-Siatka">
    <w:name w:val="Table Grid"/>
    <w:basedOn w:val="Standardowy"/>
    <w:uiPriority w:val="59"/>
    <w:rsid w:val="00995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7008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08B8"/>
    <w:rPr>
      <w:rFonts w:ascii="Times New Roman" w:eastAsiaTheme="minorEastAsia" w:hAnsi="Times New Roman" w:cs="Times New Roman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008B8"/>
    <w:rPr>
      <w:rFonts w:ascii="Liberation Sans" w:eastAsia="Microsoft YaHei" w:hAnsi="Liberation Sans" w:cs="Arial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6b9ee3-42d2-46c8-8d8b-23916b22376b">
      <Terms xmlns="http://schemas.microsoft.com/office/infopath/2007/PartnerControls"/>
    </lcf76f155ced4ddcb4097134ff3c332f>
    <TaxCatchAll xmlns="f8da9c49-457f-41e3-9b11-b37f69250b2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8CBE2C3E603245BD3F5B30CA97D09E" ma:contentTypeVersion="14" ma:contentTypeDescription="Utwórz nowy dokument." ma:contentTypeScope="" ma:versionID="701a304ade18af8f303380e2420a673d">
  <xsd:schema xmlns:xsd="http://www.w3.org/2001/XMLSchema" xmlns:xs="http://www.w3.org/2001/XMLSchema" xmlns:p="http://schemas.microsoft.com/office/2006/metadata/properties" xmlns:ns2="b06b9ee3-42d2-46c8-8d8b-23916b22376b" xmlns:ns3="f8da9c49-457f-41e3-9b11-b37f69250b28" targetNamespace="http://schemas.microsoft.com/office/2006/metadata/properties" ma:root="true" ma:fieldsID="84aeaaf5e1b1e73d26ecb1de48cdb3bd" ns2:_="" ns3:_="">
    <xsd:import namespace="b06b9ee3-42d2-46c8-8d8b-23916b22376b"/>
    <xsd:import namespace="f8da9c49-457f-41e3-9b11-b37f69250b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b9ee3-42d2-46c8-8d8b-23916b2237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178dc54b-36a1-4ddd-a079-aa44141494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a9c49-457f-41e3-9b11-b37f69250b2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ab41af6-3dad-4a37-b9de-5adc874d9cca}" ma:internalName="TaxCatchAll" ma:showField="CatchAllData" ma:web="f8da9c49-457f-41e3-9b11-b37f69250b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A77CAF-2ADB-4E84-B060-8DA2402D66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46DA27-76AE-40D4-8341-4E2BD7CE73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0D8B95-91C5-409F-BB84-B769BF066AD1}">
  <ds:schemaRefs>
    <ds:schemaRef ds:uri="http://schemas.microsoft.com/office/2006/metadata/properties"/>
    <ds:schemaRef ds:uri="http://schemas.microsoft.com/office/infopath/2007/PartnerControls"/>
    <ds:schemaRef ds:uri="b06b9ee3-42d2-46c8-8d8b-23916b22376b"/>
    <ds:schemaRef ds:uri="f8da9c49-457f-41e3-9b11-b37f69250b28"/>
  </ds:schemaRefs>
</ds:datastoreItem>
</file>

<file path=customXml/itemProps4.xml><?xml version="1.0" encoding="utf-8"?>
<ds:datastoreItem xmlns:ds="http://schemas.openxmlformats.org/officeDocument/2006/customXml" ds:itemID="{757D3005-4500-402A-8E9E-A58FBBA488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6b9ee3-42d2-46c8-8d8b-23916b22376b"/>
    <ds:schemaRef ds:uri="f8da9c49-457f-41e3-9b11-b37f69250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Michalak</dc:creator>
  <dc:description/>
  <cp:lastModifiedBy>Ja</cp:lastModifiedBy>
  <cp:revision>10</cp:revision>
  <cp:lastPrinted>2024-10-02T05:31:00Z</cp:lastPrinted>
  <dcterms:created xsi:type="dcterms:W3CDTF">2024-10-30T11:53:00Z</dcterms:created>
  <dcterms:modified xsi:type="dcterms:W3CDTF">2026-06-22T12:43:00Z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0x010100478CBE2C3E603245BD3F5B30CA97D09E</vt:lpwstr>
  </property>
</Properties>
</file>