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713" w:rsidRPr="00EB0B9F" w:rsidRDefault="00595713" w:rsidP="00595713">
      <w:pPr>
        <w:spacing w:line="276" w:lineRule="auto"/>
        <w:jc w:val="center"/>
        <w:rPr>
          <w:b/>
          <w:bCs/>
          <w:color w:val="000000"/>
        </w:rPr>
      </w:pPr>
      <w:r w:rsidRPr="00EB0B9F">
        <w:rPr>
          <w:b/>
          <w:bCs/>
          <w:color w:val="000000"/>
        </w:rPr>
        <w:t>Autorstwo artykułów w czasopismach naukowych</w:t>
      </w:r>
    </w:p>
    <w:p w:rsidR="00595713" w:rsidRPr="00EB0B9F" w:rsidRDefault="00595713" w:rsidP="00595713">
      <w:pPr>
        <w:spacing w:line="276" w:lineRule="auto"/>
        <w:rPr>
          <w:b/>
          <w:bCs/>
          <w:color w:val="000000"/>
        </w:rPr>
      </w:pP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Stereotypowy obraz szkoły – przegląd wybranych składników</w:t>
      </w:r>
      <w:r w:rsidRPr="00EB0B9F">
        <w:rPr>
          <w:color w:val="000000"/>
        </w:rPr>
        <w:t>, „Kultura i Edukacja” 1996, nr 4, s. 27–31.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Z badań nad kompetencją innowacyjną absolwentów wyższych szkół oficerskich</w:t>
      </w:r>
      <w:r w:rsidRPr="00EB0B9F">
        <w:rPr>
          <w:color w:val="000000"/>
        </w:rPr>
        <w:t>, „Toru</w:t>
      </w:r>
      <w:r w:rsidRPr="00EB0B9F">
        <w:rPr>
          <w:color w:val="000000"/>
        </w:rPr>
        <w:t>ń</w:t>
      </w:r>
      <w:r w:rsidRPr="00EB0B9F">
        <w:rPr>
          <w:color w:val="000000"/>
        </w:rPr>
        <w:t>skie Studia Dydaktyczne” 1999, t. 13–14, s. 183–205.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Kontrola osiągnięć dydaktycznych</w:t>
      </w:r>
      <w:r w:rsidRPr="00EB0B9F">
        <w:rPr>
          <w:color w:val="000000"/>
        </w:rPr>
        <w:t>, „Wojsko i Wychowanie” 1999, nr 12, s. 32–38.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Edukacyjne konsekwencje przemian we współczesnym wojsku</w:t>
      </w:r>
      <w:r w:rsidRPr="00EB0B9F">
        <w:rPr>
          <w:color w:val="000000"/>
        </w:rPr>
        <w:t>, „Toruńskie Studia Dyda</w:t>
      </w:r>
      <w:r w:rsidRPr="00EB0B9F">
        <w:rPr>
          <w:color w:val="000000"/>
        </w:rPr>
        <w:t>k</w:t>
      </w:r>
      <w:r w:rsidRPr="00EB0B9F">
        <w:rPr>
          <w:color w:val="000000"/>
        </w:rPr>
        <w:t>tyczne” 2000, t. 15, s. 108–127.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Wybrane problemy użycia technik statystycznych w badaniach i pracach dyplomowych</w:t>
      </w:r>
      <w:r w:rsidRPr="00EB0B9F">
        <w:rPr>
          <w:color w:val="000000"/>
        </w:rPr>
        <w:t xml:space="preserve">, „Zeszyty Naukowe WSO im. gen. </w:t>
      </w:r>
      <w:r w:rsidRPr="00EB0B9F">
        <w:rPr>
          <w:color w:val="000000"/>
          <w:lang w:val="de-DE"/>
        </w:rPr>
        <w:t xml:space="preserve">J. </w:t>
      </w:r>
      <w:proofErr w:type="spellStart"/>
      <w:r w:rsidRPr="00EB0B9F">
        <w:rPr>
          <w:color w:val="000000"/>
          <w:lang w:val="de-DE"/>
        </w:rPr>
        <w:t>Bema</w:t>
      </w:r>
      <w:proofErr w:type="spellEnd"/>
      <w:r w:rsidRPr="00EB0B9F">
        <w:rPr>
          <w:color w:val="000000"/>
          <w:lang w:val="de-DE"/>
        </w:rPr>
        <w:t>” 2002, t. 22, 416–424.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Pedagogiczne refleksje nad kształceniem przez Internet</w:t>
      </w:r>
      <w:r w:rsidRPr="00EB0B9F">
        <w:rPr>
          <w:color w:val="000000"/>
        </w:rPr>
        <w:t>, „Edukacja Otwarta” 2004, nr 1–2, s. 101–110.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Wybrane problemy analizy związków między zmiennymi w studenckich badaniach ped</w:t>
      </w:r>
      <w:r w:rsidRPr="00EB0B9F">
        <w:rPr>
          <w:i/>
          <w:iCs/>
          <w:color w:val="000000"/>
        </w:rPr>
        <w:t>a</w:t>
      </w:r>
      <w:r w:rsidRPr="00EB0B9F">
        <w:rPr>
          <w:i/>
          <w:iCs/>
          <w:color w:val="000000"/>
        </w:rPr>
        <w:t>gogicznych</w:t>
      </w:r>
      <w:r w:rsidRPr="00EB0B9F">
        <w:rPr>
          <w:color w:val="000000"/>
        </w:rPr>
        <w:t xml:space="preserve">, „Edukacyjne Dyskursy” z dnia 15 lipca 2004, [online:] </w:t>
      </w:r>
      <w:hyperlink r:id="rId5" w:history="1">
        <w:r w:rsidRPr="00EB0B9F">
          <w:rPr>
            <w:rStyle w:val="Hipercze"/>
          </w:rPr>
          <w:t>http://www.edukacyjne.dyskursy.univ.szczecin.pl/</w:t>
        </w:r>
      </w:hyperlink>
      <w:r w:rsidRPr="00EB0B9F">
        <w:rPr>
          <w:color w:val="000000"/>
        </w:rPr>
        <w:t>.</w:t>
      </w:r>
      <w:r w:rsidR="00EB0B9F" w:rsidRPr="00EB0B9F">
        <w:rPr>
          <w:color w:val="000000"/>
        </w:rPr>
        <w:t xml:space="preserve"> (</w:t>
      </w:r>
      <w:hyperlink r:id="rId6" w:history="1">
        <w:r w:rsidR="00EB0B9F" w:rsidRPr="00EB0B9F">
          <w:rPr>
            <w:rStyle w:val="Hipercze"/>
          </w:rPr>
          <w:t>http://repozytorium.ukw.edu.pl/handle/item/168</w:t>
        </w:r>
      </w:hyperlink>
      <w:r w:rsidR="00EB0B9F" w:rsidRPr="00EB0B9F">
        <w:rPr>
          <w:color w:val="000000"/>
        </w:rPr>
        <w:t>)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Opinie i oczekiwania studentów wobec wybranych aspektów przemian szkolnictwa wy</w:t>
      </w:r>
      <w:r w:rsidRPr="00EB0B9F">
        <w:rPr>
          <w:i/>
          <w:iCs/>
          <w:color w:val="000000"/>
        </w:rPr>
        <w:t>ż</w:t>
      </w:r>
      <w:r w:rsidRPr="00EB0B9F">
        <w:rPr>
          <w:i/>
          <w:iCs/>
          <w:color w:val="000000"/>
        </w:rPr>
        <w:t>szego</w:t>
      </w:r>
      <w:r w:rsidRPr="00EB0B9F">
        <w:rPr>
          <w:color w:val="000000"/>
        </w:rPr>
        <w:t>, „Toruńsko-Płockie Studia Dydaktyczne” 2006, t. 19, s. 11–24.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Społeczeństwo obywatelskie jako obszar kształtowania kompetencji ważnych dla dem</w:t>
      </w:r>
      <w:r w:rsidRPr="00EB0B9F">
        <w:rPr>
          <w:i/>
          <w:iCs/>
          <w:color w:val="000000"/>
        </w:rPr>
        <w:t>o</w:t>
      </w:r>
      <w:r w:rsidRPr="00EB0B9F">
        <w:rPr>
          <w:i/>
          <w:iCs/>
          <w:color w:val="000000"/>
        </w:rPr>
        <w:t>kracji</w:t>
      </w:r>
      <w:r w:rsidRPr="00EB0B9F">
        <w:rPr>
          <w:color w:val="000000"/>
        </w:rPr>
        <w:t xml:space="preserve">, „Acta </w:t>
      </w:r>
      <w:proofErr w:type="spellStart"/>
      <w:r w:rsidRPr="00EB0B9F">
        <w:rPr>
          <w:color w:val="000000"/>
        </w:rPr>
        <w:t>Humanica</w:t>
      </w:r>
      <w:proofErr w:type="spellEnd"/>
      <w:r w:rsidRPr="00EB0B9F">
        <w:rPr>
          <w:color w:val="000000"/>
        </w:rPr>
        <w:t>” 2008, nr 2, s. 172–176 (</w:t>
      </w:r>
      <w:proofErr w:type="spellStart"/>
      <w:r w:rsidRPr="00EB0B9F">
        <w:rPr>
          <w:color w:val="000000"/>
        </w:rPr>
        <w:t>ŽilinskáUniverzita</w:t>
      </w:r>
      <w:proofErr w:type="spellEnd"/>
      <w:r w:rsidRPr="00EB0B9F">
        <w:rPr>
          <w:color w:val="000000"/>
        </w:rPr>
        <w:t xml:space="preserve"> – </w:t>
      </w:r>
      <w:proofErr w:type="spellStart"/>
      <w:r w:rsidRPr="00EB0B9F">
        <w:rPr>
          <w:color w:val="000000"/>
        </w:rPr>
        <w:t>Žilina</w:t>
      </w:r>
      <w:proofErr w:type="spellEnd"/>
      <w:r w:rsidRPr="00EB0B9F">
        <w:rPr>
          <w:color w:val="000000"/>
        </w:rPr>
        <w:t xml:space="preserve">, Słowacja). </w:t>
      </w:r>
      <w:r w:rsidR="00EB0B9F" w:rsidRPr="00EB0B9F">
        <w:rPr>
          <w:color w:val="000000"/>
        </w:rPr>
        <w:t>(</w:t>
      </w:r>
      <w:hyperlink r:id="rId7" w:history="1">
        <w:r w:rsidR="00EB0B9F" w:rsidRPr="00EB0B9F">
          <w:rPr>
            <w:rStyle w:val="Hipercze"/>
          </w:rPr>
          <w:t>http://repozytorium.ukw.edu.pl/handle/item/171</w:t>
        </w:r>
      </w:hyperlink>
      <w:r w:rsidR="00EB0B9F" w:rsidRPr="00EB0B9F">
        <w:rPr>
          <w:color w:val="000000"/>
        </w:rPr>
        <w:t>)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  <w:lang w:val="en-US"/>
        </w:rPr>
      </w:pPr>
      <w:r w:rsidRPr="00EB0B9F">
        <w:rPr>
          <w:i/>
          <w:iCs/>
          <w:color w:val="000000"/>
          <w:lang w:val="en-US"/>
        </w:rPr>
        <w:t>Public debate as important element of democracy – pedagogical issues</w:t>
      </w:r>
      <w:r w:rsidRPr="00EB0B9F">
        <w:rPr>
          <w:color w:val="000000"/>
          <w:lang w:val="en-US"/>
        </w:rPr>
        <w:t>, „</w:t>
      </w:r>
      <w:proofErr w:type="spellStart"/>
      <w:r w:rsidRPr="00EB0B9F">
        <w:rPr>
          <w:color w:val="000000"/>
          <w:lang w:val="en-US"/>
        </w:rPr>
        <w:t>ActaHumanica</w:t>
      </w:r>
      <w:proofErr w:type="spellEnd"/>
      <w:r w:rsidRPr="00EB0B9F">
        <w:rPr>
          <w:color w:val="000000"/>
          <w:lang w:val="en-US"/>
        </w:rPr>
        <w:t>” 2009, nr 3, s. 130–133.</w:t>
      </w:r>
      <w:r w:rsidR="00EB0B9F" w:rsidRPr="00EB0B9F">
        <w:rPr>
          <w:color w:val="000000"/>
        </w:rPr>
        <w:t>(</w:t>
      </w:r>
      <w:hyperlink r:id="rId8" w:history="1">
        <w:r w:rsidR="00EB0B9F" w:rsidRPr="00EB0B9F">
          <w:rPr>
            <w:rStyle w:val="Hipercze"/>
          </w:rPr>
          <w:t>http://repozytorium.ukw.edu.pl/handle/item/170</w:t>
        </w:r>
      </w:hyperlink>
      <w:r w:rsidR="00EB0B9F" w:rsidRPr="00EB0B9F">
        <w:rPr>
          <w:color w:val="000000"/>
        </w:rPr>
        <w:t>)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Między pedagogiką ogólną a metodologią badań</w:t>
      </w:r>
      <w:r w:rsidRPr="00EB0B9F">
        <w:rPr>
          <w:iCs/>
          <w:color w:val="000000"/>
        </w:rPr>
        <w:t>, „Przegląd Badań Edukacyjnych” 2011, nr 1 (12), s. 85–105.</w:t>
      </w:r>
      <w:r w:rsidR="00EB0B9F" w:rsidRPr="00EB0B9F">
        <w:rPr>
          <w:color w:val="000000"/>
        </w:rPr>
        <w:t>(</w:t>
      </w:r>
      <w:hyperlink r:id="rId9" w:history="1">
        <w:r w:rsidR="00EB0B9F" w:rsidRPr="00EB0B9F">
          <w:rPr>
            <w:rStyle w:val="Hipercze"/>
          </w:rPr>
          <w:t>http://repozytorium.ukw.edu.pl/handle/item/169</w:t>
        </w:r>
      </w:hyperlink>
      <w:r w:rsidR="00EB0B9F" w:rsidRPr="00EB0B9F">
        <w:rPr>
          <w:color w:val="000000"/>
        </w:rPr>
        <w:t>)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Dialog w sferze publicznej i jego edukacyjne aspekty</w:t>
      </w:r>
      <w:r w:rsidRPr="00EB0B9F">
        <w:rPr>
          <w:iCs/>
          <w:color w:val="000000"/>
        </w:rPr>
        <w:t>, „Kwartalnik Pedagogiczny” 2012, nr 4 (226), s. 83–94.</w:t>
      </w:r>
      <w:r w:rsidR="00EB0B9F" w:rsidRPr="00EB0B9F">
        <w:rPr>
          <w:color w:val="000000"/>
        </w:rPr>
        <w:t>(</w:t>
      </w:r>
      <w:hyperlink r:id="rId10" w:history="1">
        <w:r w:rsidR="00EB0B9F" w:rsidRPr="00EB0B9F">
          <w:rPr>
            <w:rStyle w:val="Hipercze"/>
          </w:rPr>
          <w:t>http://repozytorium.ukw.edu.pl/handle/item/443</w:t>
        </w:r>
      </w:hyperlink>
      <w:r w:rsidR="00EB0B9F" w:rsidRPr="00EB0B9F">
        <w:rPr>
          <w:color w:val="000000"/>
        </w:rPr>
        <w:t>)</w:t>
      </w:r>
    </w:p>
    <w:p w:rsidR="00595713" w:rsidRPr="00EB0B9F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Komplementarne spojrzenie na raport z badań</w:t>
      </w:r>
      <w:r w:rsidRPr="00EB0B9F">
        <w:rPr>
          <w:iCs/>
          <w:color w:val="000000"/>
        </w:rPr>
        <w:t>, „Forum Oświatowe” 2013, Vol. 48, No. 1, s. 11–27.</w:t>
      </w:r>
      <w:r w:rsidR="00EB0B9F" w:rsidRPr="00EB0B9F">
        <w:rPr>
          <w:color w:val="000000"/>
        </w:rPr>
        <w:t>(</w:t>
      </w:r>
      <w:hyperlink r:id="rId11" w:history="1">
        <w:r w:rsidR="00EB0B9F" w:rsidRPr="00EB0B9F">
          <w:rPr>
            <w:rStyle w:val="Hipercze"/>
          </w:rPr>
          <w:t>http://repozytorium.ukw.edu.pl/handle/item/160</w:t>
        </w:r>
      </w:hyperlink>
      <w:r w:rsidR="00EB0B9F" w:rsidRPr="00EB0B9F">
        <w:rPr>
          <w:color w:val="000000"/>
        </w:rPr>
        <w:t>)</w:t>
      </w:r>
    </w:p>
    <w:p w:rsidR="00595713" w:rsidRPr="00DA0AFB" w:rsidRDefault="00595713" w:rsidP="00595713">
      <w:pPr>
        <w:numPr>
          <w:ilvl w:val="0"/>
          <w:numId w:val="1"/>
        </w:numPr>
        <w:spacing w:line="276" w:lineRule="auto"/>
        <w:rPr>
          <w:color w:val="000000"/>
        </w:rPr>
      </w:pPr>
      <w:r w:rsidRPr="00EB0B9F">
        <w:rPr>
          <w:i/>
          <w:iCs/>
          <w:color w:val="000000"/>
        </w:rPr>
        <w:t>Kilka uwag o przydatności chaosu w szkole</w:t>
      </w:r>
      <w:r w:rsidRPr="00EB0B9F">
        <w:rPr>
          <w:iCs/>
          <w:color w:val="000000"/>
        </w:rPr>
        <w:t>, „Podstawy Edukacji” 2015, t. 8, s. 119–130.</w:t>
      </w:r>
      <w:r w:rsidR="00EB0B9F" w:rsidRPr="00EB0B9F">
        <w:rPr>
          <w:iCs/>
          <w:color w:val="000000"/>
        </w:rPr>
        <w:t xml:space="preserve"> (</w:t>
      </w:r>
      <w:hyperlink r:id="rId12" w:history="1">
        <w:r w:rsidR="00EB0B9F" w:rsidRPr="00EB0B9F">
          <w:rPr>
            <w:rStyle w:val="Hipercze"/>
            <w:iCs/>
          </w:rPr>
          <w:t>http://repozytorium.ukw.edu.pl/handle/item/3685</w:t>
        </w:r>
      </w:hyperlink>
      <w:r w:rsidR="00EB0B9F" w:rsidRPr="00EB0B9F">
        <w:rPr>
          <w:iCs/>
          <w:color w:val="000000"/>
        </w:rPr>
        <w:t>)</w:t>
      </w:r>
    </w:p>
    <w:p w:rsidR="00DA0AFB" w:rsidRDefault="00B51A2A" w:rsidP="00DA0AFB">
      <w:pPr>
        <w:numPr>
          <w:ilvl w:val="0"/>
          <w:numId w:val="1"/>
        </w:numPr>
        <w:spacing w:line="276" w:lineRule="auto"/>
        <w:rPr>
          <w:color w:val="000000"/>
        </w:rPr>
      </w:pPr>
      <w:r>
        <w:rPr>
          <w:i/>
          <w:iCs/>
          <w:color w:val="000000"/>
        </w:rPr>
        <w:t>Aksjologiczne k</w:t>
      </w:r>
      <w:r w:rsidR="00DA0AFB">
        <w:rPr>
          <w:i/>
          <w:iCs/>
          <w:color w:val="000000"/>
        </w:rPr>
        <w:t>onteksty słabości sfery publicznej</w:t>
      </w:r>
      <w:r w:rsidR="00DA0AFB">
        <w:rPr>
          <w:iCs/>
          <w:color w:val="000000"/>
        </w:rPr>
        <w:t>, „Przegląd Pe</w:t>
      </w:r>
      <w:r>
        <w:rPr>
          <w:iCs/>
          <w:color w:val="000000"/>
        </w:rPr>
        <w:t>dagogiczny” 2016, nr 2, s. 48–66</w:t>
      </w:r>
      <w:r w:rsidR="00DA0AFB">
        <w:rPr>
          <w:iCs/>
          <w:color w:val="000000"/>
        </w:rPr>
        <w:t>.</w:t>
      </w:r>
      <w:r>
        <w:rPr>
          <w:iCs/>
          <w:color w:val="000000"/>
        </w:rPr>
        <w:t xml:space="preserve"> (</w:t>
      </w:r>
      <w:hyperlink r:id="rId13" w:history="1">
        <w:r w:rsidRPr="00B51A2A">
          <w:rPr>
            <w:rStyle w:val="resultrecords1"/>
            <w:bCs/>
            <w:color w:val="003399"/>
            <w:sz w:val="24"/>
            <w:szCs w:val="24"/>
          </w:rPr>
          <w:t>http://repozytorium.ukw.edu.pl/handle/item/4087</w:t>
        </w:r>
      </w:hyperlink>
      <w:r>
        <w:rPr>
          <w:iCs/>
          <w:color w:val="000000"/>
        </w:rPr>
        <w:t>)</w:t>
      </w:r>
    </w:p>
    <w:p w:rsidR="00DA0AFB" w:rsidRDefault="00DA0AFB" w:rsidP="00DA0AFB">
      <w:pPr>
        <w:numPr>
          <w:ilvl w:val="0"/>
          <w:numId w:val="1"/>
        </w:numPr>
        <w:spacing w:line="276" w:lineRule="auto"/>
      </w:pPr>
      <w:r w:rsidRPr="00574CCC">
        <w:rPr>
          <w:i/>
        </w:rPr>
        <w:t>Wychowanie dla wspólnoty – zaniedbana funkcja edukacji?</w:t>
      </w:r>
      <w:r>
        <w:t>, „Lubelski Rocznik Pedag</w:t>
      </w:r>
      <w:r>
        <w:t>o</w:t>
      </w:r>
      <w:r>
        <w:t>giczny”</w:t>
      </w:r>
      <w:r w:rsidR="001C5743">
        <w:t xml:space="preserve"> 2016, Tom XXXV, z. 1, s. 55–71. (</w:t>
      </w:r>
      <w:hyperlink r:id="rId14" w:history="1">
        <w:r w:rsidR="001C5743">
          <w:rPr>
            <w:rStyle w:val="Hipercze"/>
          </w:rPr>
          <w:t>http://repozytorium.ukw.edu.pl/handle/item/3972</w:t>
        </w:r>
      </w:hyperlink>
      <w:r w:rsidR="001C5743">
        <w:t>)</w:t>
      </w:r>
    </w:p>
    <w:p w:rsidR="00EE3FCA" w:rsidRDefault="00BA1E4C" w:rsidP="00595713">
      <w:pPr>
        <w:numPr>
          <w:ilvl w:val="0"/>
          <w:numId w:val="1"/>
        </w:numPr>
        <w:spacing w:line="276" w:lineRule="auto"/>
        <w:rPr>
          <w:rStyle w:val="object"/>
        </w:rPr>
      </w:pPr>
      <w:r>
        <w:rPr>
          <w:i/>
        </w:rPr>
        <w:t>Tradycja republikańska i jej znaczenie dla współczesnej edukacji obywatelskiej</w:t>
      </w:r>
      <w:r>
        <w:t>, „</w:t>
      </w:r>
      <w:proofErr w:type="spellStart"/>
      <w:r>
        <w:t>Annal</w:t>
      </w:r>
      <w:r>
        <w:t>e</w:t>
      </w:r>
      <w:r>
        <w:t>sUniversitatisMariae</w:t>
      </w:r>
      <w:proofErr w:type="spellEnd"/>
      <w:r>
        <w:t xml:space="preserve"> Curie-Skłodowska”, </w:t>
      </w:r>
      <w:proofErr w:type="spellStart"/>
      <w:r>
        <w:t>Sectio</w:t>
      </w:r>
      <w:proofErr w:type="spellEnd"/>
      <w:r>
        <w:t xml:space="preserve"> J: „</w:t>
      </w:r>
      <w:proofErr w:type="spellStart"/>
      <w:r>
        <w:t>Paedagogia</w:t>
      </w:r>
      <w:proofErr w:type="spellEnd"/>
      <w:r>
        <w:t xml:space="preserve"> – Psychologia” 2017, Vol. XXX, </w:t>
      </w:r>
      <w:r w:rsidR="00947846">
        <w:t xml:space="preserve">z. </w:t>
      </w:r>
      <w:r>
        <w:t xml:space="preserve">3, s. 45–57. </w:t>
      </w:r>
      <w:r>
        <w:rPr>
          <w:rStyle w:val="object"/>
        </w:rPr>
        <w:t>(</w:t>
      </w:r>
      <w:hyperlink r:id="rId15" w:tgtFrame="_blank" w:history="1">
        <w:r>
          <w:rPr>
            <w:rStyle w:val="Hipercze"/>
          </w:rPr>
          <w:t>http://repozytorium.ukw.edu.pl/handle/item/4867</w:t>
        </w:r>
      </w:hyperlink>
      <w:r>
        <w:rPr>
          <w:rStyle w:val="object"/>
        </w:rPr>
        <w:t>)</w:t>
      </w:r>
    </w:p>
    <w:p w:rsidR="00F1568D" w:rsidRDefault="00F1568D" w:rsidP="0014342F">
      <w:pPr>
        <w:numPr>
          <w:ilvl w:val="0"/>
          <w:numId w:val="1"/>
        </w:numPr>
        <w:spacing w:line="276" w:lineRule="auto"/>
      </w:pPr>
      <w:r>
        <w:rPr>
          <w:i/>
        </w:rPr>
        <w:t xml:space="preserve">Aktywność obywatelska w organizacjach trzeciego sektora a pedagogia </w:t>
      </w:r>
      <w:proofErr w:type="spellStart"/>
      <w:r>
        <w:rPr>
          <w:i/>
        </w:rPr>
        <w:t>agatologiczna</w:t>
      </w:r>
      <w:proofErr w:type="spellEnd"/>
      <w:r>
        <w:rPr>
          <w:i/>
        </w:rPr>
        <w:t xml:space="preserve"> Józefa Tischnera</w:t>
      </w:r>
      <w:r>
        <w:t>, „</w:t>
      </w:r>
      <w:proofErr w:type="spellStart"/>
      <w:r>
        <w:t>Paedagogia</w:t>
      </w:r>
      <w:proofErr w:type="spellEnd"/>
      <w:r>
        <w:t xml:space="preserve"> Christiana” 2018, nr 1 (41), s. 149–164.</w:t>
      </w:r>
      <w:r w:rsidR="0014342F">
        <w:t xml:space="preserve"> (</w:t>
      </w:r>
      <w:hyperlink r:id="rId16" w:history="1">
        <w:r w:rsidR="00B216E4">
          <w:rPr>
            <w:rStyle w:val="Hipercze"/>
          </w:rPr>
          <w:t>http://repozytorium.ukw.edu.pl//handle/item/5722</w:t>
        </w:r>
      </w:hyperlink>
      <w:r w:rsidR="0014342F">
        <w:t xml:space="preserve">) </w:t>
      </w:r>
    </w:p>
    <w:p w:rsidR="005A42EB" w:rsidRDefault="005A42EB" w:rsidP="0014342F">
      <w:pPr>
        <w:numPr>
          <w:ilvl w:val="0"/>
          <w:numId w:val="1"/>
        </w:numPr>
        <w:spacing w:line="276" w:lineRule="auto"/>
        <w:rPr>
          <w:rStyle w:val="object"/>
        </w:rPr>
      </w:pPr>
      <w:r w:rsidRPr="00262C2A">
        <w:rPr>
          <w:i/>
        </w:rPr>
        <w:lastRenderedPageBreak/>
        <w:t>Deficyty obywatelskości – na podstawie doświadczeń polityków i działaczy organizacji pozarządowych</w:t>
      </w:r>
      <w:r>
        <w:t>, „Colloquium. Edukacja – Polityka – Historia” 2019, nr 2, s. 95–114.</w:t>
      </w:r>
      <w:r>
        <w:rPr>
          <w:rStyle w:val="object"/>
        </w:rPr>
        <w:t xml:space="preserve"> (</w:t>
      </w:r>
      <w:hyperlink r:id="rId17" w:tgtFrame="_blank" w:history="1">
        <w:r>
          <w:rPr>
            <w:rStyle w:val="Hipercze"/>
          </w:rPr>
          <w:t>http://repozytorium.ukw.edu.pl//handle/item/6761</w:t>
        </w:r>
      </w:hyperlink>
      <w:r>
        <w:rPr>
          <w:rStyle w:val="object"/>
        </w:rPr>
        <w:t>)</w:t>
      </w:r>
    </w:p>
    <w:p w:rsidR="009F4451" w:rsidRDefault="009F4451" w:rsidP="009F4451">
      <w:pPr>
        <w:numPr>
          <w:ilvl w:val="0"/>
          <w:numId w:val="1"/>
        </w:numPr>
        <w:spacing w:line="276" w:lineRule="auto"/>
      </w:pPr>
      <w:r w:rsidRPr="00556151">
        <w:rPr>
          <w:i/>
        </w:rPr>
        <w:t>Kultura obywatelska w ponowoczesności. Wybrane konteksty edukacyjne</w:t>
      </w:r>
      <w:r>
        <w:t>, „Studia Eduk</w:t>
      </w:r>
      <w:r>
        <w:t>a</w:t>
      </w:r>
      <w:r>
        <w:t>cyjne” 2019, nr 55, s. 183–203. (</w:t>
      </w:r>
      <w:hyperlink r:id="rId18" w:history="1">
        <w:r w:rsidRPr="00B97EF8">
          <w:rPr>
            <w:rStyle w:val="Hipercze"/>
          </w:rPr>
          <w:t>http://cse.amu.edu.pl/wp-content/uploads/2020/01/55.pdf</w:t>
        </w:r>
      </w:hyperlink>
      <w:r w:rsidR="00534B05">
        <w:rPr>
          <w:rStyle w:val="Hipercze"/>
        </w:rPr>
        <w:t xml:space="preserve">; </w:t>
      </w:r>
      <w:hyperlink r:id="rId19" w:tgtFrame="_blank" w:history="1">
        <w:r w:rsidR="00534B05">
          <w:rPr>
            <w:rStyle w:val="Hipercze"/>
          </w:rPr>
          <w:t>http://repozytorium.ukw.edu.pl//handle/item/6777</w:t>
        </w:r>
      </w:hyperlink>
      <w:r>
        <w:t xml:space="preserve">) </w:t>
      </w:r>
      <w:bookmarkStart w:id="0" w:name="_GoBack"/>
      <w:bookmarkEnd w:id="0"/>
    </w:p>
    <w:p w:rsidR="006116BE" w:rsidRPr="00EB0B9F" w:rsidRDefault="00EF5788" w:rsidP="006116BE">
      <w:pPr>
        <w:numPr>
          <w:ilvl w:val="0"/>
          <w:numId w:val="1"/>
        </w:numPr>
        <w:spacing w:line="276" w:lineRule="auto"/>
      </w:pPr>
      <w:r>
        <w:rPr>
          <w:i/>
        </w:rPr>
        <w:t>Dobro wspólne jako kategoria pedagogiczna</w:t>
      </w:r>
      <w:r>
        <w:t xml:space="preserve">, „Lubelski Rocznik Pedagogiczny” 2020, t. XXXIX, z. 2, s. 39–50. </w:t>
      </w:r>
      <w:r w:rsidR="00717868">
        <w:t>(</w:t>
      </w:r>
      <w:hyperlink r:id="rId20" w:history="1">
        <w:r w:rsidR="00717868" w:rsidRPr="00E9106A">
          <w:rPr>
            <w:rStyle w:val="Hipercze"/>
          </w:rPr>
          <w:t>https://journals.umcs.pl/lrp/issue/view/570/showToc</w:t>
        </w:r>
      </w:hyperlink>
      <w:r w:rsidR="003B2277">
        <w:t xml:space="preserve">; </w:t>
      </w:r>
      <w:hyperlink r:id="rId21" w:tgtFrame="_blank" w:history="1">
        <w:r w:rsidR="003B2277">
          <w:rPr>
            <w:rStyle w:val="Hipercze"/>
          </w:rPr>
          <w:t>http://repozytorium.ukw.edu.pl//handle/item/7039</w:t>
        </w:r>
      </w:hyperlink>
      <w:r w:rsidR="00717868">
        <w:t>)</w:t>
      </w:r>
    </w:p>
    <w:sectPr w:rsidR="006116BE" w:rsidRPr="00EB0B9F" w:rsidSect="00D42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42854"/>
    <w:multiLevelType w:val="hybridMultilevel"/>
    <w:tmpl w:val="B98257CA"/>
    <w:lvl w:ilvl="0" w:tplc="FB5454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469B5"/>
    <w:multiLevelType w:val="hybridMultilevel"/>
    <w:tmpl w:val="043AA578"/>
    <w:lvl w:ilvl="0" w:tplc="878CA5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95C0E"/>
    <w:multiLevelType w:val="hybridMultilevel"/>
    <w:tmpl w:val="7C542B3A"/>
    <w:lvl w:ilvl="0" w:tplc="0D827D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9B17D5"/>
    <w:multiLevelType w:val="hybridMultilevel"/>
    <w:tmpl w:val="51BC2D02"/>
    <w:lvl w:ilvl="0" w:tplc="0D827D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C32FC2"/>
    <w:multiLevelType w:val="hybridMultilevel"/>
    <w:tmpl w:val="E110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674B8"/>
    <w:multiLevelType w:val="hybridMultilevel"/>
    <w:tmpl w:val="082C00FE"/>
    <w:lvl w:ilvl="0" w:tplc="0D827D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autoHyphenation/>
  <w:hyphenationZone w:val="425"/>
  <w:characterSpacingControl w:val="doNotCompress"/>
  <w:compat/>
  <w:rsids>
    <w:rsidRoot w:val="00595713"/>
    <w:rsid w:val="0014342F"/>
    <w:rsid w:val="001C5743"/>
    <w:rsid w:val="00323F7D"/>
    <w:rsid w:val="003B2277"/>
    <w:rsid w:val="00534B05"/>
    <w:rsid w:val="00595713"/>
    <w:rsid w:val="005A42EB"/>
    <w:rsid w:val="006116BE"/>
    <w:rsid w:val="00656EAC"/>
    <w:rsid w:val="00717868"/>
    <w:rsid w:val="00947846"/>
    <w:rsid w:val="009E4CFB"/>
    <w:rsid w:val="009F4451"/>
    <w:rsid w:val="00A70A15"/>
    <w:rsid w:val="00B216E4"/>
    <w:rsid w:val="00B50EAB"/>
    <w:rsid w:val="00B51A2A"/>
    <w:rsid w:val="00B765C0"/>
    <w:rsid w:val="00BA1E4C"/>
    <w:rsid w:val="00C96593"/>
    <w:rsid w:val="00D4234E"/>
    <w:rsid w:val="00DA0AFB"/>
    <w:rsid w:val="00EB0B9F"/>
    <w:rsid w:val="00EE3FCA"/>
    <w:rsid w:val="00EF5788"/>
    <w:rsid w:val="00F15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5713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571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qFormat/>
    <w:rsid w:val="00595713"/>
    <w:rPr>
      <w:i/>
      <w:iCs/>
    </w:rPr>
  </w:style>
  <w:style w:type="character" w:styleId="Hipercze">
    <w:name w:val="Hyperlink"/>
    <w:basedOn w:val="Domylnaczcionkaakapitu"/>
    <w:uiPriority w:val="99"/>
    <w:unhideWhenUsed/>
    <w:rsid w:val="00595713"/>
    <w:rPr>
      <w:color w:val="0000FF" w:themeColor="hyperlink"/>
      <w:u w:val="single"/>
    </w:rPr>
  </w:style>
  <w:style w:type="character" w:customStyle="1" w:styleId="resultrecords1">
    <w:name w:val="resultrecords1"/>
    <w:basedOn w:val="Domylnaczcionkaakapitu"/>
    <w:rsid w:val="00B51A2A"/>
    <w:rPr>
      <w:b w:val="0"/>
      <w:bCs w:val="0"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object">
    <w:name w:val="object"/>
    <w:basedOn w:val="Domylnaczcionkaakapitu"/>
    <w:rsid w:val="00BA1E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5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5713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9571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qFormat/>
    <w:rsid w:val="00595713"/>
    <w:rPr>
      <w:i/>
      <w:iCs/>
    </w:rPr>
  </w:style>
  <w:style w:type="character" w:styleId="Hipercze">
    <w:name w:val="Hyperlink"/>
    <w:basedOn w:val="Domylnaczcionkaakapitu"/>
    <w:uiPriority w:val="99"/>
    <w:unhideWhenUsed/>
    <w:rsid w:val="00595713"/>
    <w:rPr>
      <w:color w:val="0000FF" w:themeColor="hyperlink"/>
      <w:u w:val="single"/>
    </w:rPr>
  </w:style>
  <w:style w:type="character" w:customStyle="1" w:styleId="resultrecords1">
    <w:name w:val="resultrecords1"/>
    <w:basedOn w:val="Domylnaczcionkaakapitu"/>
    <w:rsid w:val="00B51A2A"/>
    <w:rPr>
      <w:b w:val="0"/>
      <w:bCs w:val="0"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object">
    <w:name w:val="object"/>
    <w:basedOn w:val="Domylnaczcionkaakapitu"/>
    <w:rsid w:val="00BA1E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pozytorium.ukw.edu.pl/handle/item/170" TargetMode="External"/><Relationship Id="rId13" Type="http://schemas.openxmlformats.org/officeDocument/2006/relationships/hyperlink" Target="http://repozytorium.ukw.edu.pl/handle/item/4087" TargetMode="External"/><Relationship Id="rId18" Type="http://schemas.openxmlformats.org/officeDocument/2006/relationships/hyperlink" Target="http://cse.amu.edu.pl/wp-content/uploads/2020/01/55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epozytorium.ukw.edu.pl/handle/item/7039" TargetMode="External"/><Relationship Id="rId7" Type="http://schemas.openxmlformats.org/officeDocument/2006/relationships/hyperlink" Target="http://repozytorium.ukw.edu.pl/handle/item/171" TargetMode="External"/><Relationship Id="rId12" Type="http://schemas.openxmlformats.org/officeDocument/2006/relationships/hyperlink" Target="http://repozytorium.ukw.edu.pl/handle/item/3685" TargetMode="External"/><Relationship Id="rId17" Type="http://schemas.openxmlformats.org/officeDocument/2006/relationships/hyperlink" Target="http://repozytorium.ukw.edu.pl/handle/item/6761" TargetMode="External"/><Relationship Id="rId2" Type="http://schemas.openxmlformats.org/officeDocument/2006/relationships/styles" Target="styles.xml"/><Relationship Id="rId16" Type="http://schemas.openxmlformats.org/officeDocument/2006/relationships/hyperlink" Target="http://repozytorium.ukw.edu.pl/handle/item/5722" TargetMode="External"/><Relationship Id="rId20" Type="http://schemas.openxmlformats.org/officeDocument/2006/relationships/hyperlink" Target="https://journals.umcs.pl/lrp/issue/view/570/showT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repozytorium.ukw.edu.pl/handle/item/168" TargetMode="External"/><Relationship Id="rId11" Type="http://schemas.openxmlformats.org/officeDocument/2006/relationships/hyperlink" Target="http://repozytorium.ukw.edu.pl/handle/item/160" TargetMode="External"/><Relationship Id="rId24" Type="http://schemas.microsoft.com/office/2007/relationships/stylesWithEffects" Target="stylesWithEffects.xml"/><Relationship Id="rId5" Type="http://schemas.openxmlformats.org/officeDocument/2006/relationships/hyperlink" Target="http://www.edukacyjne.dyskursy.univ.szczecin.pl/" TargetMode="External"/><Relationship Id="rId15" Type="http://schemas.openxmlformats.org/officeDocument/2006/relationships/hyperlink" Target="http://repozytorium.ukw.edu.pl/handle/item/48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repozytorium.ukw.edu.pl/handle/item/443" TargetMode="External"/><Relationship Id="rId19" Type="http://schemas.openxmlformats.org/officeDocument/2006/relationships/hyperlink" Target="http://repozytorium.ukw.edu.pl/handle/item/67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epozytorium.ukw.edu.pl/handle/item/169" TargetMode="External"/><Relationship Id="rId14" Type="http://schemas.openxmlformats.org/officeDocument/2006/relationships/hyperlink" Target="http://repozytorium.ukw.edu.pl/handle/item/397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23</cp:revision>
  <cp:lastPrinted>2020-02-06T08:15:00Z</cp:lastPrinted>
  <dcterms:created xsi:type="dcterms:W3CDTF">2016-10-04T17:01:00Z</dcterms:created>
  <dcterms:modified xsi:type="dcterms:W3CDTF">2021-04-20T14:22:00Z</dcterms:modified>
</cp:coreProperties>
</file>